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98"/>
        <w:jc w:val="right"/>
      </w:pPr>
      <w:r>
        <w:rPr>
          <w:rStyle w:val="623"/>
        </w:rPr>
        <w:t xml:space="preserve">Форма</w:t>
      </w:r>
      <w:r/>
    </w:p>
    <w:p>
      <w:r/>
      <w:r/>
    </w:p>
    <w:p>
      <w:pPr>
        <w:pStyle w:val="618"/>
      </w:pPr>
      <w:r>
        <w:t xml:space="preserve">Сводная информация</w:t>
      </w:r>
      <w:r>
        <w:br/>
        <w:t xml:space="preserve">по итогам независимой антикоррупционной экспертизы и (или) общественного обсуждения проекта</w:t>
      </w:r>
      <w:r/>
    </w:p>
    <w:p>
      <w:r/>
      <w:r/>
    </w:p>
    <w:p>
      <w:pPr>
        <w:jc w:val="center"/>
        <w:rPr>
          <w:b/>
          <w:bCs/>
        </w:rPr>
      </w:pPr>
      <w:r>
        <w:rPr>
          <w:b/>
        </w:rPr>
        <w:t xml:space="preserve">Проект постановления Кабинета Министров Республики Татарстан </w:t>
      </w:r>
      <w:r>
        <w:rPr>
          <w:b/>
        </w:rPr>
      </w:r>
    </w:p>
    <w:p>
      <w:pPr>
        <w:jc w:val="center"/>
        <w:rPr>
          <w:b/>
          <w:bCs/>
        </w:rPr>
      </w:pPr>
      <w:r>
        <w:rPr>
          <w:b/>
        </w:rPr>
        <w:t xml:space="preserve">«О внесении изменения в государственную программу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утвержденную постановлением Кабинета Министров Республики Татарстан от 10.09.2020 №821 «Об утверждении 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</w:t>
      </w: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1021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Независимая антикоррупционная экспертиза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N</w:t>
            </w:r>
            <w:r/>
          </w:p>
          <w:p>
            <w:pPr>
              <w:pStyle w:val="624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Эксперт</w:t>
            </w:r>
            <w:r/>
          </w:p>
          <w:p>
            <w:pPr>
              <w:pStyle w:val="624"/>
              <w:jc w:val="center"/>
            </w:pPr>
            <w:r>
              <w:t xml:space="preserve">(Ф.И.О. (последнее - при наличии)/реквизиты распоряжения об аккредитации)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Выявленный </w:t>
            </w:r>
            <w:r>
              <w:t xml:space="preserve">коррупциогенный</w:t>
            </w:r>
            <w:r>
              <w:t xml:space="preserve"> фактор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Комментарии</w:t>
            </w:r>
            <w:r/>
          </w:p>
          <w:p>
            <w:pPr>
              <w:pStyle w:val="624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bottom w:val="single" w:color="auto" w:sz="4" w:space="0"/>
            </w:tcBorders>
            <w:tcW w:w="10216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Общественное обсуждение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N</w:t>
            </w:r>
            <w:r/>
          </w:p>
          <w:p>
            <w:pPr>
              <w:pStyle w:val="624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Участник обсуждения</w:t>
            </w:r>
            <w:r/>
          </w:p>
          <w:p>
            <w:pPr>
              <w:pStyle w:val="624"/>
              <w:jc w:val="center"/>
            </w:pPr>
            <w:r>
              <w:t xml:space="preserve">(Ф.И.О. (последнее - при наличии)/адрес электронной почты)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Позиция участника обсуждения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Комментарии</w:t>
            </w:r>
            <w:r/>
          </w:p>
          <w:p>
            <w:pPr>
              <w:pStyle w:val="624"/>
              <w:jc w:val="center"/>
            </w:pPr>
            <w:r>
              <w:t xml:space="preserve">разработчика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bookmarkStart w:id="0" w:name="_GoBack"/>
            <w:r/>
            <w:bookmarkEnd w:id="0"/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624"/>
            </w:pPr>
            <w: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pStyle w:val="624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626"/>
            </w:pPr>
            <w:r>
              <w:t xml:space="preserve">Общее количество поступивших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624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626"/>
            </w:pPr>
            <w:r>
              <w:t xml:space="preserve">Общее количество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624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626"/>
            </w:pPr>
            <w:r>
              <w:t xml:space="preserve">Общее количество частично 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624"/>
            </w:pPr>
            <w:r>
              <w:t xml:space="preserve">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875" w:type="dxa"/>
            <w:textDirection w:val="lrTb"/>
            <w:noWrap w:val="false"/>
          </w:tcPr>
          <w:p>
            <w:pPr>
              <w:pStyle w:val="626"/>
            </w:pPr>
            <w:r>
              <w:t xml:space="preserve">Общее количество неучтенных предложений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1" w:type="dxa"/>
            <w:textDirection w:val="lrTb"/>
            <w:noWrap w:val="false"/>
          </w:tcPr>
          <w:p>
            <w:pPr>
              <w:pStyle w:val="624"/>
            </w:pPr>
            <w:r>
              <w:t xml:space="preserve">0</w:t>
            </w:r>
            <w:r/>
          </w:p>
        </w:tc>
      </w:tr>
    </w:tbl>
    <w:p>
      <w:r/>
      <w:r/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618">
    <w:name w:val="Heading 1"/>
    <w:basedOn w:val="617"/>
    <w:next w:val="617"/>
    <w:link w:val="622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623" w:customStyle="1">
    <w:name w:val="Цветовое выделение"/>
    <w:uiPriority w:val="99"/>
    <w:rPr>
      <w:b/>
      <w:bCs/>
      <w:color w:val="26282f"/>
    </w:rPr>
  </w:style>
  <w:style w:type="paragraph" w:styleId="624" w:customStyle="1">
    <w:name w:val="Нормальный (таблица)"/>
    <w:basedOn w:val="617"/>
    <w:next w:val="617"/>
    <w:uiPriority w:val="99"/>
    <w:pPr>
      <w:ind w:firstLine="0"/>
    </w:pPr>
  </w:style>
  <w:style w:type="paragraph" w:styleId="625" w:customStyle="1">
    <w:name w:val="Таблицы (моноширинный)"/>
    <w:basedOn w:val="617"/>
    <w:next w:val="617"/>
    <w:uiPriority w:val="99"/>
    <w:pPr>
      <w:ind w:firstLine="0"/>
      <w:jc w:val="left"/>
    </w:pPr>
    <w:rPr>
      <w:rFonts w:ascii="Courier New" w:hAnsi="Courier New" w:cs="Courier New"/>
    </w:rPr>
  </w:style>
  <w:style w:type="paragraph" w:styleId="626" w:customStyle="1">
    <w:name w:val="Прижатый влево"/>
    <w:basedOn w:val="617"/>
    <w:next w:val="617"/>
    <w:uiPriority w:val="99"/>
    <w:pPr>
      <w:ind w:firstLine="0"/>
      <w:jc w:val="left"/>
    </w:pPr>
  </w:style>
  <w:style w:type="character" w:styleId="627">
    <w:name w:val="Hyperlink"/>
    <w:basedOn w:val="61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3</cp:revision>
  <dcterms:created xsi:type="dcterms:W3CDTF">2025-10-13T06:46:00Z</dcterms:created>
  <dcterms:modified xsi:type="dcterms:W3CDTF">2025-10-15T12:14:00Z</dcterms:modified>
</cp:coreProperties>
</file>