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Положение о формировании государственного задания на оказание государственных услуг (выполнение работ) в отношении государственных учреждений и финансовом обеспечении выполнения государственного задания, утвержденное постановлением Ка</w:t>
      </w:r>
      <w:r>
        <w:rPr>
          <w:bCs/>
          <w:sz w:val="28"/>
          <w:szCs w:val="28"/>
        </w:rPr>
        <w:t xml:space="preserve">бинета Министров Республики Татарстан от 31.12.2015 № 1044 «О порядке формирования государственного задания на оказание государственных услуг (выполнение работ) в отношении государственных учреждений и финансового обеспечения выполнения государственного зад</w:t>
      </w:r>
      <w:r>
        <w:rPr>
          <w:bCs/>
          <w:sz w:val="28"/>
          <w:szCs w:val="28"/>
        </w:rPr>
        <w:t xml:space="preserve">ания»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24</cp:revision>
  <dcterms:created xsi:type="dcterms:W3CDTF">2020-12-19T12:13:00Z</dcterms:created>
  <dcterms:modified xsi:type="dcterms:W3CDTF">2025-08-21T06:49:56Z</dcterms:modified>
</cp:coreProperties>
</file>