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высшего</w:t>
      </w:r>
      <w:r>
        <w:rPr>
          <w:bCs/>
          <w:sz w:val="28"/>
          <w:szCs w:val="28"/>
        </w:rPr>
        <w:t xml:space="preserve"> образования, получающих образование за счет средств бюджета Республики Татарстан, на 2026 год и на плановый период 2027 и 2028 годов»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2025-08-11T07:16:58Z</dcterms:modified>
</cp:coreProperties>
</file>