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pStyle w:val="831"/>
        <w:rPr>
          <w:color w:val="000000" w:themeColor="text1"/>
        </w:rPr>
      </w:pPr>
      <w:r>
        <w:rPr>
          <w:color w:val="000000" w:themeColor="text1"/>
        </w:rPr>
        <w:t xml:space="preserve">Сводная информация</w:t>
      </w:r>
      <w:r>
        <w:rPr>
          <w:color w:val="000000" w:themeColor="text1"/>
        </w:rPr>
        <w:br/>
        <w:t xml:space="preserve">по итогам независимой антикоррупционной экспертизы и (или) общественного обсуждения проекта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r/>
      <w:r/>
    </w:p>
    <w:p>
      <w:pPr>
        <w:jc w:val="center"/>
      </w:pPr>
      <w:r>
        <w:rPr>
          <w:b/>
        </w:rPr>
        <w:t xml:space="preserve">П</w:t>
      </w:r>
      <w:r>
        <w:rPr>
          <w:b/>
          <w:bCs/>
          <w:sz w:val="24"/>
          <w:szCs w:val="24"/>
        </w:rPr>
        <w:t xml:space="preserve">роект </w:t>
      </w:r>
      <w:r>
        <w:rPr>
          <w:b/>
          <w:bCs/>
          <w:sz w:val="24"/>
          <w:szCs w:val="24"/>
        </w:rPr>
        <w:t xml:space="preserve">постановления Кабинета Министров Республики Татарс</w:t>
      </w:r>
      <w:r>
        <w:rPr>
          <w:b/>
          <w:bCs/>
          <w:sz w:val="24"/>
          <w:szCs w:val="24"/>
        </w:rPr>
        <w:t xml:space="preserve">тан </w:t>
      </w:r>
      <w:r>
        <w:rPr>
          <w:rFonts w:ascii="Times New Roman" w:hAnsi="Times New Roman" w:cs="Times New Roman"/>
          <w:b/>
          <w:bCs/>
          <w:szCs w:val="28"/>
        </w:rPr>
      </w:r>
      <w:r/>
      <w:r>
        <w:rPr>
          <w:rFonts w:ascii="Times New Roman" w:hAnsi="Times New Roman" w:cs="Times New Roman"/>
          <w:b/>
          <w:bCs/>
          <w:szCs w:val="28"/>
        </w:rPr>
        <w:t xml:space="preserve"> «Об утверждении Порядка предоставления в </w:t>
      </w:r>
      <w:r/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  <w:t xml:space="preserve">2025 году гранта в форме субсидии образовательным организациям высшего образования на реализацию проекта,</w:t>
      </w:r>
      <w:r/>
      <w:r>
        <w:rPr>
          <w:rFonts w:ascii="Times New Roman" w:hAnsi="Times New Roman" w:cs="Times New Roman"/>
          <w:b/>
          <w:bCs/>
          <w:szCs w:val="28"/>
        </w:rPr>
      </w:r>
    </w:p>
    <w:p>
      <w:pPr>
        <w:jc w:val="center"/>
      </w:pPr>
      <w:r>
        <w:rPr>
          <w:rFonts w:ascii="Times New Roman" w:hAnsi="Times New Roman" w:cs="Times New Roman"/>
          <w:b/>
          <w:bCs/>
          <w:szCs w:val="28"/>
        </w:rPr>
        <w:t xml:space="preserve">направленного на создание передовой инженерной школы республиканского значения» </w:t>
      </w:r>
      <w:r/>
    </w:p>
    <w:p>
      <w:pPr>
        <w:jc w:val="center"/>
        <w:rPr>
          <w:b/>
          <w:bCs/>
        </w:rPr>
      </w:pPr>
      <w:r>
        <w:rPr>
          <w:b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0216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Независимая антикоррупционная экспертиза</w:t>
            </w:r>
            <w:r/>
          </w:p>
        </w:tc>
      </w:tr>
      <w:tr>
        <w:tblPrEx/>
        <w:trPr>
          <w:trHeight w:val="1423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N</w:t>
            </w:r>
            <w:r/>
          </w:p>
          <w:p>
            <w:pPr>
              <w:pStyle w:val="837"/>
              <w:jc w:val="center"/>
            </w:pPr>
            <w: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Эксперт</w:t>
            </w:r>
            <w:r/>
          </w:p>
          <w:p>
            <w:pPr>
              <w:pStyle w:val="837"/>
              <w:jc w:val="center"/>
            </w:pPr>
            <w:r>
              <w:t xml:space="preserve">(Ф.И.О. (последнее - при наличии)/реквизиты распоряжения об аккредитации)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Выявленный </w:t>
            </w:r>
            <w:r>
              <w:t xml:space="preserve">коррупц</w:t>
            </w:r>
            <w:bookmarkStart w:id="0" w:name="_GoBack"/>
            <w:r/>
            <w:bookmarkEnd w:id="0"/>
            <w:r>
              <w:t xml:space="preserve">иогенный</w:t>
            </w:r>
            <w:r>
              <w:t xml:space="preserve"> фактор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Комментарии</w:t>
            </w:r>
            <w:r/>
          </w:p>
          <w:p>
            <w:pPr>
              <w:pStyle w:val="837"/>
              <w:jc w:val="center"/>
            </w:pPr>
            <w:r>
              <w:t xml:space="preserve">разработчика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Merge w:val="restart"/>
            <w:textDirection w:val="lrTb"/>
            <w:noWrap w:val="false"/>
          </w:tcPr>
          <w:p>
            <w:pPr>
              <w:pStyle w:val="837"/>
            </w:pPr>
            <w:r/>
            <w:r>
              <w:t xml:space="preserve">Хамидуллина Гульназ Мунировна</w:t>
            </w:r>
            <w:r>
              <w:t xml:space="preserve">/</w:t>
            </w:r>
            <w:r>
              <w:t xml:space="preserve">распоряжение Министерства юстиции Российской </w:t>
            </w:r>
            <w:r>
              <w:t xml:space="preserve">Федерации от 30.09.2022 № 1304-р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ind w:firstLine="0"/>
            </w:pPr>
            <w:r>
              <w:t xml:space="preserve">Пункт 4.3:</w:t>
            </w:r>
            <w:r/>
          </w:p>
          <w:p>
            <w:pPr>
              <w:ind w:firstLine="0"/>
            </w:pPr>
            <w:r>
              <w:t xml:space="preserve">«4.3. Внесение изменений в объявление о проведении отбора осуществляется в </w:t>
            </w:r>
            <w:r>
              <w:t xml:space="preserve">порядке, аналогичном порядку формирования объявления о проведении отбора </w:t>
            </w:r>
            <w:r/>
            <w:r>
              <w:t xml:space="preserve">установленному пунктом 4.2 настоящего Порядка, не позднее наступления даты </w:t>
            </w:r>
            <w:r/>
            <w:r/>
            <w:r>
              <w:t xml:space="preserve">окончания приема заявок с соблюдением следующих условий:...».</w:t>
            </w:r>
            <w:r/>
            <w:r/>
          </w:p>
          <w:p>
            <w:pPr>
              <w:ind w:firstLine="0"/>
              <w:rPr>
                <w:highlight w:val="none"/>
              </w:rPr>
            </w:pPr>
            <w:r/>
            <w:r>
              <w:t xml:space="preserve">Выявлены следующие коррупциогенные </w:t>
            </w:r>
            <w:r/>
            <w:r>
              <w:t xml:space="preserve">факторы: выборочное изменение объема прав - возможность необоснованного установления </w:t>
            </w:r>
            <w:r/>
            <w:r/>
            <w:r>
              <w:t xml:space="preserve">исключений из общего порядка для граждан и организаций по усмотрению государственных </w:t>
            </w:r>
            <w:r/>
            <w:r/>
            <w:r>
              <w:t xml:space="preserve">органов, органов местного самоуправления или организаций (их должностных лиц). </w:t>
            </w:r>
            <w:r/>
            <w:r/>
            <w:r>
              <w:t xml:space="preserve">Проектируемой нормой предусмотрена возможность изменения условий конкурса до </w:t>
            </w:r>
            <w:r/>
            <w:r/>
            <w:r>
              <w:t xml:space="preserve">окончания подачи заявок, что создает возможность допуска к отбору только конкретных </w:t>
            </w:r>
            <w:r/>
            <w:r/>
            <w:r>
              <w:t xml:space="preserve">участников, нарушая принцип равного доступа к мерам поддержки.</w:t>
            </w:r>
            <w:r/>
            <w:r/>
            <w:r/>
            <w:r/>
          </w:p>
          <w:p>
            <w:pPr>
              <w:ind w:firstLine="0"/>
            </w:pPr>
            <w:r>
              <w:rPr>
                <w:highlight w:val="none"/>
              </w:rPr>
              <w:t xml:space="preserve">Предлагается дополнить пункт абз. в следующей редакции: «При этом </w:t>
            </w:r>
            <w:r/>
            <w:r>
              <w:rPr>
                <w:highlight w:val="none"/>
              </w:rPr>
              <w:t xml:space="preserve">не допускается внесение изменений в условия предоставления гранта, критерии отбора </w:t>
            </w:r>
            <w:r/>
            <w:r>
              <w:rPr>
                <w:highlight w:val="none"/>
              </w:rPr>
              <w:t xml:space="preserve">получателя гранта, требования к участникам.».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>
              <w:t xml:space="preserve">Использованные  формулировки идентичны формулировкам пункта 281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</w:t>
            </w:r>
            <w:r>
              <w:t xml:space="preserve">лям, а также физическим лицам - производителям товаров, работ, услуг, утвержденных постановлением Правительства Российской Федерации от 25 октября 2023 г. № 1781. Данным пунктом предусматривается возможность внесения изменений в объявление о проведении отбо</w:t>
            </w:r>
            <w:r>
              <w:t xml:space="preserve">ра с соблюдением указанных в нем условий. В пункте 4.3. Порядка предоставления гранта описанные в пункте 281 условия приводятся без каких-либо сокращений и изменений с учетом ранее указанного способа проведения отбора — конкурс. В частности, в качестве таки</w:t>
            </w:r>
            <w:r>
              <w:t xml:space="preserve">х условий приводятся: запрет на изменение способа отбора, включение в объявление о проведении отбора положений, предусматривающих право участников отбора внести изменения в заявки, уведомление участников отбора, подавших заявки, о внесении изменений в объяв</w:t>
            </w:r>
            <w:r>
              <w:t xml:space="preserve">ление о проведении отбора не позднее дня, следующего за днем внесения изменений в объявление о проведении отбора.</w:t>
            </w:r>
            <w:r/>
          </w:p>
          <w:p>
            <w:pPr>
              <w:pStyle w:val="837"/>
            </w:pPr>
            <w:r>
              <w:t xml:space="preserve">При этом следует указать на то, что коррупциогенность возникает тогда, когда положения нормативного акта устанавливают для правоприменителя необоснованно широкие пределы усмотрения или возможность необоснованного применения исключений из общих правил, что м</w:t>
            </w:r>
            <w:r>
              <w:t xml:space="preserve">ожет создать препятствия для отдельного участника отбора в подаче заявки. Положения пункта 4.3. Порядка о предоставлении гранта не устанавливают каких-либо исключений для организатора отбора по его усмотрению произвольно и без соблюдения установленных закон</w:t>
            </w:r>
            <w:r>
              <w:t xml:space="preserve">одательством условий принимать какие-либо не соответствующие общему порядку для граждан и организаций решения. Напротив, закрепленный в пункте 4.3. Порядка о предоставлении гранта четко определенный, соответствующий действующему нормативному правовому акту </w:t>
            </w:r>
            <w:r>
              <w:t xml:space="preserve">Правительства Российской Федерации порядок внесения изменений в объявление о проведении отбора, обеспечивает единообразный подход по отношению ко всем участникам отбора, подавшим или подающим заявки на конкурс, а также предусматривает гарантии соблюдения их</w:t>
            </w:r>
            <w:r>
              <w:t xml:space="preserve"> прав участников отбора, уже подавших такие заявки.</w:t>
            </w:r>
            <w:r/>
          </w:p>
          <w:p>
            <w:pPr>
              <w:pStyle w:val="837"/>
            </w:pPr>
            <w:r>
              <w:t xml:space="preserve">Таким образом, указанное в заключении положение пункта 4.3. Порядка предоставления гранта не может расцениваться как коррупциогенный фактор, предусмотренный подпунктом «в» пункта 3 Методики, - выборочное изменение объема прав - возможность необоснованного у</w:t>
            </w:r>
            <w:r>
              <w:t xml:space="preserve">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лиц).</w:t>
            </w:r>
            <w:r/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ind w:firstLine="0"/>
            </w:pPr>
            <w:r>
              <w:t xml:space="preserve">Пункт 1, 2 Критериев экспертной оценки Приложение к проекту: </w:t>
            </w:r>
            <w:r/>
            <w:r>
              <w:t xml:space="preserve">«Актуальность, хорошее соответствие приоритетам, масштабность и амбициозность </w:t>
            </w:r>
            <w:r/>
            <w:r/>
            <w:r>
              <w:t xml:space="preserve">видения: ».</w:t>
            </w:r>
            <w:r/>
            <w:r/>
          </w:p>
          <w:p>
            <w:pPr>
              <w:ind w:firstLine="0"/>
            </w:pPr>
            <w:r>
              <w:t xml:space="preserve">Выявлены следующие коррупциогенные </w:t>
            </w:r>
            <w:r/>
            <w:r>
              <w:t xml:space="preserve">факторы: юридико-лингвистическая неопределенность - употребление неустоявшихся, </w:t>
            </w:r>
            <w:r/>
            <w:r/>
            <w:r>
              <w:t xml:space="preserve">двусмысленных терминов и категорий оценочного характера.</w:t>
            </w:r>
            <w:r/>
            <w:r/>
          </w:p>
          <w:p>
            <w:pPr>
              <w:ind w:firstLine="0"/>
              <w:rPr>
                <w:highlight w:val="none"/>
              </w:rPr>
            </w:pPr>
            <w:r>
              <w:t xml:space="preserve">Пункт содержит оценочные суждения, которые носят субъективный характер, что </w:t>
            </w:r>
            <w:r/>
            <w:r>
              <w:t xml:space="preserve">приводит к произвольной расстановке баллов в отсутствие объективных параметров оценки.</w:t>
            </w:r>
            <w:r/>
            <w:r/>
            <w:r/>
            <w:r/>
          </w:p>
          <w:p>
            <w:pPr>
              <w:ind w:firstLine="0"/>
            </w:pPr>
            <w:r>
              <w:rPr>
                <w:highlight w:val="none"/>
              </w:rPr>
              <w:t xml:space="preserve">Предлагается внести </w:t>
            </w:r>
            <w:r/>
            <w:r>
              <w:rPr>
                <w:highlight w:val="none"/>
              </w:rPr>
              <w:t xml:space="preserve">измеримые индикаторы с письменным обоснованием экспертами проставления баллов, </w:t>
            </w:r>
            <w:r/>
            <w:r>
              <w:rPr>
                <w:highlight w:val="none"/>
              </w:rPr>
            </w:r>
            <w:r>
              <w:rPr>
                <w:highlight w:val="none"/>
              </w:rPr>
              <w:t xml:space="preserve">которые подлежат размещению в открытом доступе с протоколом подведения итогов </w:t>
            </w:r>
            <w:r/>
            <w:r>
              <w:rPr>
                <w:highlight w:val="none"/>
              </w:rPr>
            </w:r>
            <w:r>
              <w:rPr>
                <w:highlight w:val="none"/>
              </w:rPr>
              <w:t xml:space="preserve">отбора.</w:t>
            </w:r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firstLine="0"/>
            </w:pPr>
            <w:r>
              <w:t xml:space="preserve">Используемые в пунктах 1 и 2 формулировки критериев экспертной оценки (Приложение к Порядку предоставления грантов) являются аналогичными с теми, что используются при экспертной оценке заявок образовательных организаций, поданных ими для получения грантов в</w:t>
            </w:r>
            <w:r>
              <w:t xml:space="preserve"> форме субсидий из федерального бюджета на поддержку программ развития передовых инженерных школ и содержатся в пункте 21 Правил предоставления грантов в форме субсидий из федерального бюджета на поддержку программ развития передовых инженерных школ, обеспе</w:t>
            </w:r>
            <w:r>
              <w:t xml:space="preserve">чение прохождения практик и стажировок, в том числе в формате работы с наставниками, для талантливых студентов лучших магистерских программ, обеспечение повышения квалификации и (или) профессиональной переподготовки, в том числе в форме стажировки на базе в</w:t>
            </w:r>
            <w:r>
              <w:t xml:space="preserve">ысокотехнологичных компаний, для профессорско-преподавательского состава и управленческих команд передовых инженерных школ, а также образовательных организаций высшего образования, реализующих образовательные программы инженерного профиля, утвержденных пост</w:t>
            </w:r>
            <w:r>
              <w:t xml:space="preserve">ановлением Правительства Российской Федерации от 8 апреля 2022 г. № 619 «О мерах государственной поддержки программ развития передовых инженерных школ». Конкурсы на предоставление указанных грантов образовательным организациям высшего образования в соответс</w:t>
            </w:r>
            <w:r>
              <w:t xml:space="preserve">твии с вышеназванным постановлением Правительства Российской Федерации ежегодно проводятся Министерством науки и образования Российской Федерации начиная с 2022 года, следовательно используемые им категории нельзя считать неустоявшимися или двусмысленными.
</w:t>
            </w:r>
            <w:r/>
            <w:r/>
          </w:p>
          <w:p>
            <w:r>
              <w:t xml:space="preserve">При этом необходимо отметить, что коррупциогенными положения нормативных правовых актов, в которых содержатся неустоявшиеся, двусмысленные термины и категории оценочного характера, признаются тогда, когда при помощи этих терминов или категорий устанавливают</w:t>
            </w:r>
            <w:r>
              <w:t xml:space="preserve">ся неопределенные, трудновыполнимые и (или) обременительные требования к гражданам и организациям. Согласно Порядку предоставления гранта в составе заявки участник отбора должен представить разработанную и утвержденную ими программу реализации передовой инж</w:t>
            </w:r>
            <w:r>
              <w:t xml:space="preserve">енерной школы (подпункт «б» пункта 6.1. Порядка предоставления гранта), содержание которой и будет оцениваться экспертами по критериям, содержащимся в Приложении к Порядку предоставления гранта. Учитывая, что критерии оценки заявок, указанные в пунктах 1 и </w:t>
            </w:r>
            <w:r>
              <w:t xml:space="preserve">2, имеют четко описанные, измеримые и проверяемые показатели (графа 3 таблицы) с приведением количества баллов по каждому уровню такого показателя, а также ссылки на нормативные правовые акты Российской Федерации и Республики Татарстан, проведение оценки по</w:t>
            </w:r>
            <w:r>
              <w:t xml:space="preserve"> каждому такому критерию является прозрачным.</w:t>
            </w:r>
            <w:r/>
          </w:p>
          <w:p>
            <w:r>
              <w:t xml:space="preserve">Таким образом, указанные в заключении пункты 1 и 2 Критериев оценки заявок не относятся к указанному в подпункте «в» пункта 4 Методики коррупциогенному фактору, содержащему неопределенные, трудновыполнимые и (или) обременительные требования к гражданам и ор</w:t>
            </w:r>
            <w:r>
              <w:t xml:space="preserve">ганизациям - юридико-лингвистическая неопределенность - употребление неустоявшихся, двусмысленных терминов и категорий оценочного характера.</w:t>
            </w:r>
            <w:r/>
            <w:r/>
            <w:r/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Общественное обсуждение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N</w:t>
            </w:r>
            <w:r/>
          </w:p>
          <w:p>
            <w:pPr>
              <w:pStyle w:val="837"/>
              <w:jc w:val="center"/>
            </w:pPr>
            <w: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Участник обсуждения</w:t>
            </w:r>
            <w:r/>
          </w:p>
          <w:p>
            <w:pPr>
              <w:pStyle w:val="837"/>
              <w:jc w:val="center"/>
            </w:pPr>
            <w:r>
              <w:t xml:space="preserve">(Ф.И.О. (последнее - при наличии)/адрес электронной почты)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Позиция участника обсуждения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Комментарии</w:t>
            </w:r>
            <w:r/>
          </w:p>
          <w:p>
            <w:pPr>
              <w:pStyle w:val="837"/>
              <w:jc w:val="center"/>
            </w:pPr>
            <w:r>
              <w:t xml:space="preserve">разработчика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поступивших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2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частично 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неучтенных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2</w:t>
            </w:r>
            <w:r/>
          </w:p>
        </w:tc>
      </w:tr>
    </w:tbl>
    <w:p>
      <w:r/>
      <w:r/>
    </w:p>
    <w:p>
      <w:r/>
      <w:r/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imes New Roman CYR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2"/>
    <w:link w:val="831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0"/>
    <w:next w:val="830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2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0"/>
    <w:next w:val="830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2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2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2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2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2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2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2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0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0"/>
    <w:next w:val="830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2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2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831">
    <w:name w:val="Heading 1"/>
    <w:basedOn w:val="830"/>
    <w:next w:val="830"/>
    <w:link w:val="835"/>
    <w:uiPriority w:val="99"/>
    <w:qFormat/>
    <w:pPr>
      <w:ind w:firstLine="0"/>
      <w:jc w:val="center"/>
      <w:spacing w:before="108" w:after="108"/>
      <w:outlineLvl w:val="0"/>
    </w:pPr>
    <w:rPr>
      <w:b/>
      <w:bCs/>
      <w:color w:val="26282f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Заголовок 1 Знак"/>
    <w:basedOn w:val="832"/>
    <w:link w:val="831"/>
    <w:uiPriority w:val="99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character" w:styleId="836" w:customStyle="1">
    <w:name w:val="Цветовое выделение"/>
    <w:uiPriority w:val="99"/>
    <w:rPr>
      <w:b/>
      <w:bCs/>
      <w:color w:val="26282f"/>
    </w:rPr>
  </w:style>
  <w:style w:type="paragraph" w:styleId="837" w:customStyle="1">
    <w:name w:val="Нормальный (таблица)"/>
    <w:basedOn w:val="830"/>
    <w:next w:val="830"/>
    <w:uiPriority w:val="99"/>
    <w:pPr>
      <w:ind w:firstLine="0"/>
    </w:pPr>
  </w:style>
  <w:style w:type="paragraph" w:styleId="838" w:customStyle="1">
    <w:name w:val="Таблицы (моноширинный)"/>
    <w:basedOn w:val="830"/>
    <w:next w:val="830"/>
    <w:uiPriority w:val="99"/>
    <w:pPr>
      <w:ind w:firstLine="0"/>
      <w:jc w:val="left"/>
    </w:pPr>
    <w:rPr>
      <w:rFonts w:ascii="Courier New" w:hAnsi="Courier New" w:cs="Courier New"/>
    </w:rPr>
  </w:style>
  <w:style w:type="paragraph" w:styleId="839" w:customStyle="1">
    <w:name w:val="Прижатый влево"/>
    <w:basedOn w:val="830"/>
    <w:next w:val="830"/>
    <w:uiPriority w:val="99"/>
    <w:pPr>
      <w:ind w:firstLine="0"/>
      <w:jc w:val="left"/>
    </w:pPr>
  </w:style>
  <w:style w:type="character" w:styleId="840">
    <w:name w:val="Hyperlink"/>
    <w:basedOn w:val="832"/>
    <w:uiPriority w:val="99"/>
    <w:semiHidden/>
    <w:unhideWhenUsed/>
    <w:rPr>
      <w:color w:val="0000ff"/>
      <w:u w:val="single"/>
    </w:rPr>
  </w:style>
  <w:style w:type="character" w:styleId="841" w:customStyle="1">
    <w:name w:val="Цветовое выделение для Текст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revision>6</cp:revision>
  <dcterms:created xsi:type="dcterms:W3CDTF">2024-05-23T06:14:00Z</dcterms:created>
  <dcterms:modified xsi:type="dcterms:W3CDTF">2025-08-18T14:39:22Z</dcterms:modified>
</cp:coreProperties>
</file>