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Сводная информация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по итогам независимой антикоррупционной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экспертизы проекта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outlineLvl w:val="0"/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 внесении изменений в постановление Кабинета Министров Республики Татарстан от 29.08.2013 № 614 «О грантах сельским поселениям и городским поселениям, образованным на основе поселка городского типа, не являющихся административными центрами муниципальных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районов Республики Татарстан»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»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tblInd w:w="0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10"/>
        <w:gridCol w:w="4587"/>
        <w:gridCol w:w="2339"/>
        <w:gridCol w:w="1818"/>
      </w:tblGrid>
      <w:tr>
        <w:tblPrEx/>
        <w:trPr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30"/>
              <w:numPr>
                <w:ilvl w:val="0"/>
                <w:numId w:val="0"/>
              </w:num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N п/п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</w:tbl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2025-07-30T10:32:52Z</dcterms:modified>
</cp:coreProperties>
</file>