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1"/>
        <w:rPr>
          <w:color w:val="000000" w:themeColor="text1"/>
        </w:rPr>
      </w:pPr>
      <w:r>
        <w:rPr>
          <w:color w:val="000000" w:themeColor="text1"/>
        </w:rPr>
        <w:t xml:space="preserve">Сводная информация</w:t>
      </w:r>
      <w:r>
        <w:rPr>
          <w:color w:val="000000" w:themeColor="text1"/>
        </w:rPr>
        <w:br/>
        <w:t xml:space="preserve">по итогам независимой антикоррупционной экспертизы и (или) общественного обсуждения проекта</w:t>
      </w:r>
      <w:r>
        <w:rPr>
          <w:color w:val="000000" w:themeColor="text1"/>
        </w:rPr>
      </w:r>
    </w:p>
    <w:p>
      <w:r/>
      <w:r/>
    </w:p>
    <w:p>
      <w:pPr>
        <w:jc w:val="center"/>
        <w:rPr>
          <w:b/>
          <w:bCs/>
          <w:sz w:val="24"/>
          <w:szCs w:val="24"/>
        </w:rPr>
      </w:pPr>
      <w:r>
        <w:rPr>
          <w:b/>
        </w:rPr>
        <w:t xml:space="preserve">П</w:t>
      </w:r>
      <w:r>
        <w:rPr>
          <w:b/>
          <w:bCs/>
          <w:sz w:val="24"/>
          <w:szCs w:val="24"/>
        </w:rPr>
        <w:t xml:space="preserve">роект </w:t>
      </w:r>
      <w:r>
        <w:rPr>
          <w:b/>
          <w:bCs/>
          <w:sz w:val="24"/>
          <w:szCs w:val="24"/>
        </w:rPr>
        <w:t xml:space="preserve">постановления Кабинета Министров Республики Татарс</w:t>
      </w:r>
      <w:r>
        <w:rPr>
          <w:b/>
          <w:bCs/>
          <w:sz w:val="24"/>
          <w:szCs w:val="24"/>
        </w:rPr>
        <w:t xml:space="preserve">тан </w:t>
      </w:r>
      <w:r>
        <w:rPr>
          <w:rFonts w:ascii="Times New Roman" w:hAnsi="Times New Roman" w:cs="Times New Roman"/>
          <w:b/>
          <w:bCs/>
          <w:szCs w:val="28"/>
        </w:rPr>
        <w:t xml:space="preserve">«</w:t>
      </w:r>
      <w:r>
        <w:rPr>
          <w:rStyle w:val="1_633"/>
          <w:rFonts w:ascii="Times New Roman" w:hAnsi="Times New Roman" w:cs="Times New Roman"/>
          <w:b/>
          <w:bCs/>
          <w:color w:val="000000"/>
          <w:szCs w:val="28"/>
        </w:rPr>
        <w:t xml:space="preserve">Об утверждении Порядка предоставления гранта в форме субсидии образовательной организации высшего образования на поддержку регионального проекта по модернизации системы подготовки в сфере новых</w:t>
      </w:r>
      <w:r>
        <w:rPr>
          <w:rStyle w:val="1_633"/>
          <w:rFonts w:ascii="Times New Roman" w:hAnsi="Times New Roman" w:cs="Times New Roman"/>
          <w:b/>
          <w:bCs/>
          <w:color w:val="000000"/>
          <w:szCs w:val="28"/>
        </w:rPr>
        <w:t xml:space="preserve"> материалов и химии</w:t>
      </w:r>
      <w:r>
        <w:rPr>
          <w:rFonts w:ascii="Times New Roman" w:hAnsi="Times New Roman" w:cs="Times New Roman"/>
          <w:b/>
          <w:bCs/>
          <w:szCs w:val="28"/>
        </w:rPr>
        <w:t xml:space="preserve">»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>
          <w:trHeight w:val="1423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</w:t>
            </w:r>
            <w:bookmarkStart w:id="0" w:name="_GoBack"/>
            <w:r/>
            <w:bookmarkEnd w:id="0"/>
            <w:r>
              <w:t xml:space="preserve">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pStyle w:val="837"/>
            </w:pPr>
            <w:r>
              <w:t xml:space="preserve">Хурматуллина Алсу Махмутовна/</w:t>
            </w:r>
            <w:r>
              <w:t xml:space="preserve">распоряжение Министерства юстиции Российской </w:t>
            </w:r>
            <w:r/>
            <w:r>
              <w:t xml:space="preserve">Федерации от 01.02.2024 № 122-р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>
              <w:t xml:space="preserve">В п.5.5 исследуемого нормативного правового акта указано, что «Электронные</w:t>
            </w:r>
            <w:r/>
          </w:p>
          <w:p>
            <w:pPr>
              <w:pStyle w:val="837"/>
            </w:pPr>
            <w:r>
              <w:t xml:space="preserve">копии документов и материалы, включаемые в заявку, должны иметь распространенные</w:t>
            </w:r>
            <w:r/>
          </w:p>
          <w:p>
            <w:pPr>
              <w:pStyle w:val="837"/>
            </w:pPr>
            <w:r>
              <w:t xml:space="preserve">открытые форматы, обеспечивающие возможность просмотра всего документа либо его</w:t>
            </w:r>
            <w:r/>
          </w:p>
          <w:p>
            <w:pPr>
              <w:pStyle w:val="837"/>
            </w:pPr>
            <w:r>
              <w:t xml:space="preserve">фрагмента средствами общедоступного программного обеспечения просмотра информации, </w:t>
            </w:r>
            <w:r/>
            <w:r>
              <w:t xml:space="preserve">и не должны быть зашифрованы или защищены средствами, не позволяющими осуществить</w:t>
            </w:r>
            <w:r/>
            <w:r/>
          </w:p>
          <w:p>
            <w:pPr>
              <w:pStyle w:val="837"/>
            </w:pPr>
            <w:r>
              <w:t xml:space="preserve">ознакомление с их содержимым без специальных программных или технологических </w:t>
            </w:r>
            <w:r/>
            <w:r>
              <w:t xml:space="preserve">средств. Фото- и видеоматериалы, включаемые в заявку, должны содержать четкое и</w:t>
            </w:r>
            <w:r/>
            <w:r/>
          </w:p>
          <w:p>
            <w:pPr>
              <w:pStyle w:val="837"/>
            </w:pPr>
            <w:r>
              <w:t xml:space="preserve">контрастное изображение высокого качества», при этом отсутствуют четкие критерии</w:t>
            </w:r>
            <w:r/>
          </w:p>
          <w:p>
            <w:pPr>
              <w:pStyle w:val="837"/>
            </w:pPr>
            <w:r>
              <w:t xml:space="preserve">открытого формата документа, изображения высокого качества.</w:t>
            </w:r>
            <w:r/>
          </w:p>
          <w:p>
            <w:pPr>
              <w:pStyle w:val="837"/>
            </w:pPr>
            <w:r>
              <w:t xml:space="preserve">На основе п. 2 ст. 1 Федерального закона от 17 июля 2009 г. No172-ФЗ «Об</w:t>
            </w:r>
            <w:r/>
          </w:p>
          <w:p>
            <w:pPr>
              <w:pStyle w:val="837"/>
            </w:pPr>
            <w:r>
              <w:t xml:space="preserve">антикоррупционной экспертизе нормативных правовых актов и проектов нормативных</w:t>
            </w:r>
            <w:r/>
          </w:p>
          <w:p>
            <w:pPr>
              <w:pStyle w:val="837"/>
            </w:pPr>
            <w:r>
              <w:t xml:space="preserve">правовых актов», пп. «в» п. 4 Методики проведения антикоррупционной экспертизы</w:t>
            </w:r>
            <w:r/>
          </w:p>
          <w:p>
            <w:pPr>
              <w:pStyle w:val="837"/>
            </w:pPr>
            <w:r>
              <w:t xml:space="preserve">нормативных правовых актов и проектов нормативных правовых актов, утвержденной</w:t>
            </w:r>
            <w:r/>
          </w:p>
          <w:p>
            <w:pPr>
              <w:pStyle w:val="837"/>
            </w:pPr>
            <w:r>
              <w:t xml:space="preserve">Постановлением Правительства Российской Федерации No96 от 26 февраля 2010 г. «Об</w:t>
            </w:r>
            <w:r/>
          </w:p>
          <w:p>
            <w:pPr>
              <w:pStyle w:val="837"/>
            </w:pPr>
            <w:r>
              <w:t xml:space="preserve">антикоррупционной экспертизе нормативных правовых актов и проектов нормативных</w:t>
            </w:r>
            <w:r/>
          </w:p>
          <w:p>
            <w:pPr>
              <w:pStyle w:val="837"/>
            </w:pPr>
            <w:r>
              <w:t xml:space="preserve">правовых актов», данное обстоятельство рассматривается как коррупциогенный фактор –</w:t>
            </w:r>
            <w:r/>
          </w:p>
          <w:p>
            <w:pPr>
              <w:pStyle w:val="837"/>
            </w:pPr>
            <w:r>
              <w:t xml:space="preserve">юридико-лингвистическая</w:t>
            </w:r>
            <w:r/>
          </w:p>
          <w:p>
            <w:pPr>
              <w:pStyle w:val="837"/>
            </w:pPr>
            <w:r>
              <w:t xml:space="preserve"> неопределенность</w:t>
            </w:r>
            <w:r/>
            <w:r>
              <w:t xml:space="preserve">-</w:t>
            </w:r>
            <w:r/>
            <w:r/>
            <w:r>
              <w:t xml:space="preserve">употребление </w:t>
            </w:r>
            <w:r/>
            <w:r/>
            <w:r>
              <w:t xml:space="preserve">неустоявшихся,</w:t>
            </w:r>
            <w:r/>
            <w:r/>
          </w:p>
          <w:p>
            <w:pPr>
              <w:pStyle w:val="837"/>
            </w:pPr>
            <w:r>
              <w:t xml:space="preserve">двусмысленных терминов и категорий оценочного характера.</w:t>
            </w:r>
            <w:r/>
          </w:p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>
              <w:t xml:space="preserve">Использованные в проекте ПКМ формулировки аналогичны пункту 40 Правил от</w:t>
            </w:r>
            <w:r>
              <w:t xml:space="preserve">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</w:t>
            </w:r>
            <w:r>
              <w:t xml:space="preserve">нных постановлением Правительства Российской Федерации от 25 октября 2023 г. № 1781 (далее – Правила отбора получателей субсидии).</w:t>
            </w:r>
            <w:r/>
          </w:p>
          <w:p>
            <w:pPr>
              <w:pStyle w:val="837"/>
            </w:pPr>
            <w:r>
              <w:t xml:space="preserve">При этом необходимо отметить, что коррупциогенность возникает в случаях, когда используемые термины или требования, содержащие неопределенность, влекут возможность вариативности оценки или препятствуют подаче заявителем заявки. Однако требования к четкости </w:t>
            </w:r>
            <w:r>
              <w:t xml:space="preserve">и контрастности изображения высокого качества, прилагаемого к заявке, не является критерием оценивания и не влечет допущение субъективного подхода. Словосочетание «открытый формат документа» является общеупотребимым словосочетанием, обозначающим, что докуме</w:t>
            </w:r>
            <w:r>
              <w:t xml:space="preserve">нт при открытии не должен запрашивать пароль или иной установленный создателем документа защитный ключ для возможности ознакомления с его содержанием.</w:t>
            </w:r>
            <w:r/>
          </w:p>
          <w:p>
            <w:pPr>
              <w:pStyle w:val="837"/>
            </w:pPr>
            <w:r>
              <w:t xml:space="preserve">Одновременно с этим фото- и видеоматериалы не являются обязательными приложениями к заявке, а лишь содержат возможность их приобщения заявителем по своему усмотрению.</w:t>
            </w:r>
            <w:r/>
          </w:p>
          <w:p>
            <w:pPr>
              <w:pStyle w:val="837"/>
            </w:pPr>
            <w:r>
              <w:t xml:space="preserve">Таким образом, в данном случае указанные в заключении замечания не относятся к «коррупциогенным факторам, содержащим неопределенные, трудновыполнимые и (или) обременительные требования к гражданам и организациям», указанным в подпункте «в» пункта 4 Методики</w:t>
            </w:r>
            <w:r>
      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(далее - Методика).</w:t>
            </w:r>
            <w:r/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>
              <w:t xml:space="preserve">Согласно п. 5.8. исследуемого нормативного правового акта «Любой участник </w:t>
            </w:r>
            <w:r/>
            <w:r>
              <w:t xml:space="preserve">отбора со дня размещения объявления о проведении отбора на едином портале не позднее</w:t>
            </w:r>
            <w:r/>
            <w:r/>
          </w:p>
          <w:p>
            <w:pPr>
              <w:pStyle w:val="837"/>
            </w:pPr>
            <w:r>
              <w:t xml:space="preserve">пятого рабочего дня до дня завершения подачи заявок вправе направить в АН РТ не более </w:t>
            </w:r>
            <w:r/>
            <w:r>
              <w:t xml:space="preserve">двух запросов о разъяснении положений объявления о проведении отбора путем </w:t>
            </w:r>
            <w:r/>
            <w:r/>
            <w:r>
              <w:t xml:space="preserve">формирования в системе «Электронный бюджет» соответствующего запроса», данным </w:t>
            </w:r>
            <w:r/>
            <w:r/>
            <w:r>
              <w:t xml:space="preserve">положением ограничено право участника на обращение.</w:t>
            </w:r>
            <w:r/>
            <w:r/>
          </w:p>
          <w:p>
            <w:pPr>
              <w:pStyle w:val="837"/>
            </w:pPr>
            <w:r>
              <w:t xml:space="preserve">На основе п. 2 ст. 1 Федерального закона от 17 июля 2009 г. No172-ФЗ «Об</w:t>
            </w:r>
            <w:r/>
          </w:p>
          <w:p>
            <w:pPr>
              <w:pStyle w:val="837"/>
            </w:pPr>
            <w:r>
              <w:t xml:space="preserve">антикоррупционной экспертизе нормативных правовых актов и проектов нормативных</w:t>
            </w:r>
            <w:r/>
          </w:p>
          <w:p>
            <w:pPr>
              <w:pStyle w:val="837"/>
            </w:pPr>
            <w:r>
              <w:t xml:space="preserve">правовых актов», пп. «в» п. 3 Методики проведения антикоррупционной экспертизы</w:t>
            </w:r>
            <w:r/>
          </w:p>
          <w:p>
            <w:pPr>
              <w:pStyle w:val="837"/>
            </w:pPr>
            <w:r>
              <w:t xml:space="preserve">нормативных правовых актов и проектов нормативных правовых актов, утвержденной</w:t>
            </w:r>
            <w:r/>
          </w:p>
          <w:p>
            <w:pPr>
              <w:pStyle w:val="837"/>
            </w:pPr>
            <w:r>
              <w:t xml:space="preserve">Постановлением Правительства Российской Федерации No96 от 26 февраля 2010 г. «Об </w:t>
            </w:r>
            <w:r/>
            <w:r>
              <w:t xml:space="preserve">антикоррупционной экспертизе нормативных правовых актов и проектов нормативных</w:t>
            </w:r>
            <w:r/>
            <w:r/>
          </w:p>
          <w:p>
            <w:pPr>
              <w:pStyle w:val="837"/>
            </w:pPr>
            <w:r>
              <w:t xml:space="preserve">правовых актов», данное обстоятельство рассматривается как коррупциогенный фактор – </w:t>
            </w:r>
            <w:r/>
            <w:r>
              <w:t xml:space="preserve">выборочное изменение объема прав - возможность необоснованного установления</w:t>
            </w:r>
            <w:r/>
          </w:p>
          <w:p>
            <w:pPr>
              <w:pStyle w:val="837"/>
            </w:pPr>
            <w:r>
              <w:t xml:space="preserve">исключений из общего порядка для граждан и организаций по усмотрению</w:t>
            </w:r>
            <w:r/>
          </w:p>
          <w:p>
            <w:pPr>
              <w:pStyle w:val="837"/>
            </w:pPr>
            <w:r>
              <w:t xml:space="preserve">государственных органов, органов местного самоуправления или организаций (их</w:t>
            </w:r>
            <w:r/>
          </w:p>
          <w:p>
            <w:pPr>
              <w:pStyle w:val="837"/>
            </w:pPr>
            <w:r>
              <w:t xml:space="preserve">должностных лиц).</w:t>
            </w:r>
            <w:r/>
            <w:r/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>
              <w:t xml:space="preserve">Согласовано в части увеличения количества запросов с двух до пяти. В части полной отмены ограничения по количеству возможных запросов о разъяснении положений объявления о проведении отбора со стороны участников отбора согласиться не представляется</w:t>
            </w:r>
            <w:r>
              <w:t xml:space="preserve"> возможным ввиду того, что само по себе такое ограничение установлено пунктом 46 Правил отбора получателей субсидий.</w:t>
            </w:r>
            <w:r/>
          </w:p>
          <w:p>
            <w:pPr>
              <w:pStyle w:val="837"/>
            </w:pPr>
            <w:r>
              <w:t xml:space="preserve">Кроме того, само по себе положение об ограничении количества обращений с запросами о разъяснении положений объявления о проведении отбора не позволяет организатору отбора по его усмотрению произвольно определять количество запросов </w:t>
            </w:r>
            <w:r>
              <w:t xml:space="preserve">для различных участников отбора, предоставляя такое право одним, либо ограничивая других в праве подавать такие запросы. Напротив, закрепление определенного количества запросов обеспечивает единообразный подход к порядку рассмотрения запросов участников отб</w:t>
            </w:r>
            <w:r>
              <w:t xml:space="preserve">ора.</w:t>
            </w:r>
            <w:r/>
          </w:p>
          <w:p>
            <w:pPr>
              <w:pStyle w:val="837"/>
            </w:pPr>
            <w:r>
              <w:t xml:space="preserve">Таким образом, в данном случае указанное в заключении замечание не может расцениваться как коррупциогенный фактор, предусмотренный подпунктом «в» пункта 3 Методики.</w:t>
            </w: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>
              <w:t xml:space="preserve">Согласно п.5.9. исследуемого нормативного правового акта «АН РТ в ответ на </w:t>
            </w:r>
            <w:r/>
            <w:r>
              <w:t xml:space="preserve">запрос, указанный в пункте 5.8 настоящего Порядка, направляет разъяснение положений </w:t>
            </w:r>
            <w:r/>
            <w:r/>
            <w:r>
              <w:t xml:space="preserve">объявления о проведении отбора в срок, установленный указанным объявлением, но не</w:t>
            </w:r>
            <w:r/>
            <w:r/>
          </w:p>
          <w:p>
            <w:pPr>
              <w:pStyle w:val="837"/>
            </w:pPr>
            <w:r>
              <w:t xml:space="preserve">позднее одного рабочего дня до завершения подачи заявок путем формирования в системе</w:t>
            </w:r>
            <w:r/>
          </w:p>
          <w:p>
            <w:pPr>
              <w:pStyle w:val="837"/>
            </w:pPr>
            <w:r>
              <w:t xml:space="preserve">«Электронный бюджет» соответствующего разъяснения», данным положением</w:t>
            </w:r>
            <w:r/>
          </w:p>
          <w:p>
            <w:pPr>
              <w:pStyle w:val="837"/>
            </w:pPr>
            <w:r>
              <w:t xml:space="preserve">ограничивается право участника на внесение изменений в заявку, поскольку</w:t>
            </w:r>
            <w:r/>
          </w:p>
          <w:p>
            <w:pPr>
              <w:pStyle w:val="837"/>
            </w:pPr>
            <w:r>
              <w:t xml:space="preserve">подразумеваются максимально сжатые сроки для внесения изменений со дня получения</w:t>
            </w:r>
            <w:r/>
          </w:p>
          <w:p>
            <w:pPr>
              <w:pStyle w:val="837"/>
            </w:pPr>
            <w:r>
              <w:t xml:space="preserve">разъяснения – один рабочий день.</w:t>
            </w:r>
            <w:r/>
            <w:r/>
            <w:r/>
            <w:r/>
          </w:p>
          <w:p>
            <w:pPr>
              <w:pStyle w:val="837"/>
            </w:pPr>
            <w:r>
              <w:t xml:space="preserve">На основе п. 2 ст. 1 Федерального закона от 17 июля 2009 г. No172-ФЗ «Об</w:t>
            </w:r>
            <w:r/>
          </w:p>
          <w:p>
            <w:pPr>
              <w:pStyle w:val="837"/>
            </w:pPr>
            <w:r>
              <w:t xml:space="preserve">антикоррупционной экспертизе нормативных правовых актов и проектов нормативных</w:t>
            </w:r>
            <w:r/>
          </w:p>
          <w:p>
            <w:pPr>
              <w:pStyle w:val="837"/>
            </w:pPr>
            <w:r>
              <w:t xml:space="preserve">правовых актов», пп. «в» п. 3 Методики проведения антикоррупционной экспертизы</w:t>
            </w:r>
            <w:r/>
          </w:p>
          <w:p>
            <w:pPr>
              <w:pStyle w:val="837"/>
            </w:pPr>
            <w:r>
              <w:t xml:space="preserve">нормативных правовых актов и проектов нормативных правовых актов, утвержденной</w:t>
            </w:r>
            <w:r/>
          </w:p>
          <w:p>
            <w:pPr>
              <w:pStyle w:val="837"/>
            </w:pPr>
            <w:r>
              <w:t xml:space="preserve">Постановлением Правительства Российской Федерации No96 от 26 февраля 2010 г. «Об</w:t>
            </w:r>
            <w:r/>
          </w:p>
          <w:p>
            <w:pPr>
              <w:pStyle w:val="837"/>
            </w:pPr>
            <w:r>
              <w:t xml:space="preserve">антикоррупционной экспертизе нормативных правовых актов и проектов нормативных</w:t>
            </w:r>
            <w:r/>
          </w:p>
          <w:p>
            <w:pPr>
              <w:pStyle w:val="837"/>
            </w:pPr>
            <w:r>
              <w:t xml:space="preserve">правовых актов», данное обстоятельство рассматривается как коррупциогенный фактор –</w:t>
            </w:r>
            <w:r/>
          </w:p>
          <w:p>
            <w:pPr>
              <w:pStyle w:val="837"/>
            </w:pPr>
            <w:r>
              <w:t xml:space="preserve">выборочное изменение объема прав - возможность необоснованного установления</w:t>
            </w:r>
            <w:r/>
          </w:p>
          <w:p>
            <w:pPr>
              <w:pStyle w:val="837"/>
            </w:pPr>
            <w:r>
              <w:t xml:space="preserve">исключений из общего порядка для граждан и организаций по усмотрению</w:t>
            </w:r>
            <w:r/>
          </w:p>
          <w:p>
            <w:pPr>
              <w:pStyle w:val="837"/>
            </w:pPr>
            <w:r>
              <w:t xml:space="preserve">государственных органов, органов местного самоуправления или организаций (их</w:t>
            </w:r>
            <w:r/>
          </w:p>
          <w:p>
            <w:pPr>
              <w:pStyle w:val="837"/>
            </w:pPr>
            <w:r>
              <w:t xml:space="preserve">должностных лиц).</w:t>
            </w:r>
            <w:r/>
            <w:r/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>
              <w:t xml:space="preserve">Использованные в Порядке предоставления гранта формулировки в полной мере соответствуют положению пункта 47 Правил отбора получателей субсидий. Данное положение устанавливает единые временные рамки для предоставления разъяснений всем участникам отбора без</w:t>
            </w:r>
            <w:r>
              <w:t xml:space="preserve"> исключений. Норма не предоставляет организатору отбора дискреционных полномочий предоставлять разъяснения одним участникам и отказывать в них другим. Данный пункт не содержит возможности для избирательного применения - срок предоставления разъяснений четко</w:t>
            </w:r>
            <w:r>
              <w:t xml:space="preserve"> определен как «не позднее одного рабочего дня до завершения подачи заявок», и не создает условий для необоснованного установления исключений из общего порядка для граждан и организаций по усмотрению должностных лиц.</w:t>
            </w:r>
            <w:r/>
          </w:p>
          <w:p>
            <w:pPr>
              <w:pStyle w:val="837"/>
            </w:pPr>
            <w:r>
              <w:t xml:space="preserve">Таким образом, используемая в пункте 5.9. Порядка предоставления гранта формулировка обеспечивает равные условия для всех участников отбора и не содержит признаков коррупциогенного фактора, указанного в подпункте «в» пункта 3 Методики.</w:t>
            </w:r>
            <w:r/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837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837"/>
            </w:pPr>
            <w:r>
              <w:t xml:space="preserve">Согласно абз. 5 п. 7.1 исследуемого нормативного правового акта указано:</w:t>
            </w:r>
            <w:r/>
          </w:p>
          <w:p>
            <w:pPr>
              <w:pStyle w:val="837"/>
            </w:pPr>
            <w:r>
              <w:t xml:space="preserve">«Организациям, а также иным юридическим лицам, получающим средства на основании </w:t>
            </w:r>
            <w:r/>
            <w:r>
              <w:t xml:space="preserve">договоров (соглашений), заключенных с образовательной организацией высшего </w:t>
            </w:r>
            <w:r/>
            <w:r/>
            <w:r>
              <w:t xml:space="preserve">образования, запрещается приобретение за счет полученных из бюджета Республики </w:t>
            </w:r>
            <w:r/>
            <w:r/>
            <w:r>
              <w:t xml:space="preserve">Татарстан средств иностранной валюты, за исключением операций, осуществляемых в</w:t>
            </w:r>
            <w:r/>
            <w:r/>
          </w:p>
          <w:p>
            <w:pPr>
              <w:pStyle w:val="837"/>
            </w:pPr>
            <w:r>
              <w:t xml:space="preserve">соответствии с валютным законодательством Российской Федерации при закупке</w:t>
            </w:r>
            <w:r/>
          </w:p>
          <w:p>
            <w:pPr>
              <w:pStyle w:val="837"/>
            </w:pPr>
            <w:r>
              <w:t xml:space="preserve">(поставке) высокотехнологичного импортного оборудования, сырья и комплектующих</w:t>
            </w:r>
            <w:r/>
          </w:p>
          <w:p>
            <w:pPr>
              <w:pStyle w:val="837"/>
            </w:pPr>
            <w:r>
              <w:t xml:space="preserve">изделий.». При этом понятие «высокотехнологичного импортного оборудования» не</w:t>
            </w:r>
            <w:r/>
          </w:p>
          <w:p>
            <w:pPr>
              <w:pStyle w:val="837"/>
            </w:pPr>
            <w:r>
              <w:t xml:space="preserve">раскрыто.</w:t>
            </w:r>
            <w:r/>
          </w:p>
          <w:p>
            <w:pPr>
              <w:pStyle w:val="837"/>
            </w:pPr>
            <w:r>
              <w:t xml:space="preserve">8. На основе п. 2 ст. 1 Федерального закона от 17 июля 2009 г. No172-ФЗ «Об</w:t>
            </w:r>
            <w:r/>
          </w:p>
          <w:p>
            <w:pPr>
              <w:pStyle w:val="837"/>
            </w:pPr>
            <w:r>
              <w:t xml:space="preserve">антикоррупционной экспертизе нормативных правовых актов и проектов нормативных </w:t>
            </w:r>
            <w:r/>
            <w:r>
              <w:t xml:space="preserve">правовых актов», пп. «в» п. 4 Методики проведения антикоррупционной экспертизы</w:t>
            </w:r>
            <w:r/>
            <w:r/>
          </w:p>
          <w:p>
            <w:pPr>
              <w:pStyle w:val="837"/>
            </w:pPr>
            <w:r>
              <w:t xml:space="preserve">нормативных правовых актов и проектов нормативных правовых актов, утвержденной</w:t>
            </w:r>
            <w:r/>
          </w:p>
          <w:p>
            <w:pPr>
              <w:pStyle w:val="837"/>
            </w:pPr>
            <w:r>
              <w:t xml:space="preserve">Постановлением Правительства Российской Федерации No96 от 26 февраля 2010 г. «Об</w:t>
            </w:r>
            <w:r/>
          </w:p>
          <w:p>
            <w:pPr>
              <w:pStyle w:val="837"/>
            </w:pPr>
            <w:r>
              <w:t xml:space="preserve">антикоррупционной экспертизе нормативных правовых актов и проектов нормативных</w:t>
            </w:r>
            <w:r/>
          </w:p>
          <w:p>
            <w:pPr>
              <w:pStyle w:val="837"/>
            </w:pPr>
            <w:r>
              <w:t xml:space="preserve">правовых актов», данное обстоятельство рассматривается как коррупциогенный фактор –</w:t>
            </w:r>
            <w:r/>
          </w:p>
          <w:p>
            <w:pPr>
              <w:pStyle w:val="837"/>
            </w:pPr>
            <w:r>
              <w:t xml:space="preserve">юридико-лингвистическая</w:t>
            </w:r>
            <w:r/>
          </w:p>
          <w:p>
            <w:pPr>
              <w:pStyle w:val="837"/>
            </w:pPr>
            <w:r>
              <w:t xml:space="preserve"> неопределенность</w:t>
            </w:r>
            <w:r/>
            <w:r>
              <w:t xml:space="preserve">-</w:t>
            </w:r>
            <w:r/>
            <w:r/>
            <w:r>
              <w:t xml:space="preserve">употребление </w:t>
            </w:r>
            <w:r/>
            <w:r/>
            <w:r>
              <w:t xml:space="preserve">неустоявшихся,</w:t>
            </w:r>
            <w:r/>
            <w:r/>
          </w:p>
          <w:p>
            <w:pPr>
              <w:pStyle w:val="837"/>
            </w:pPr>
            <w:r>
              <w:t xml:space="preserve">двусмысленных терминов и категорий оценочного характера.</w:t>
            </w:r>
            <w:r/>
            <w:r/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837"/>
            </w:pPr>
            <w:r>
              <w:t xml:space="preserve">Единый термин «высокотехнологичное оборудование» не представляется возможным установить, так как к такому типу может относиться разный тип, вид оборудования, в том числе в зависимости от отраслевой принадлежности и потребности экономики в конкретный период.</w:t>
            </w:r>
            <w:r>
              <w:t xml:space="preserve"> В частности, критерии для отнесения оборудования к «высокотехнологичному» в сфере образования и науки определены приказом Министерства образования и науки Российской Федерации от 1 ноября 2012 г. № 881 «Об утверждении критериев отнесения товаров, работ, ус</w:t>
            </w:r>
            <w:r>
              <w:t xml:space="preserve">луг к инновационной и высокотехнологичной продукции для целей формирования плана закупки такой продукции». Одновременном с этим Указом Президента Российской Федерации от 7 июля 2011 года № 899 «Об утверждении приоритетных направлений развития науки, техноло</w:t>
            </w:r>
            <w:r>
              <w:t xml:space="preserve">гий и техники в Российской Федерации и перечня критических технологий Российской Федерации» определены приоритетные науки, технологии и техники. В этой связи, учитывая урегулированность на федеральном уровне подхода к относимости оборудования к категории вы</w:t>
            </w:r>
            <w:r>
              <w:t xml:space="preserve">сокотехнологичного оборудования, и в целях исключения дублирования в региональном нормативном акте положений федеральных норм, термин высокотехнологичное оборудование не раскрывается.</w:t>
            </w:r>
            <w:r/>
          </w:p>
          <w:p>
            <w:pPr>
              <w:pStyle w:val="837"/>
            </w:pPr>
            <w:r>
              <w:t xml:space="preserve">При этом используемое слово «импортное» является простым и общеупотребимым указанием на товар зарубежного производителя.</w:t>
            </w:r>
            <w:r/>
          </w:p>
          <w:p>
            <w:pPr>
              <w:pStyle w:val="837"/>
            </w:pPr>
            <w:r>
              <w:t xml:space="preserve">В силу этого, использованные в абзаце пятом пункта 7.1. Порядка предоставления гранта термины и категории не могут рассматриваться как двусмысленные либо носящие оценочный характер, и не демонстрирует индикаторов коррупциогенности подпункта «в» пункта 3 Мет</w:t>
            </w:r>
            <w:r>
              <w:t xml:space="preserve">одики.</w:t>
            </w:r>
            <w:r/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837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837"/>
            </w:pPr>
            <w:r>
              <w:t xml:space="preserve">Согласно п.7.2. исследуемого нормативного правового акта «При реорганизации</w:t>
            </w:r>
            <w:r/>
          </w:p>
          <w:p>
            <w:pPr>
              <w:pStyle w:val="837"/>
            </w:pPr>
            <w:r>
              <w:t xml:space="preserve">образовательной организации высшего образования в форме слияния, присоединения или</w:t>
            </w:r>
            <w:r/>
          </w:p>
          <w:p>
            <w:pPr>
              <w:pStyle w:val="837"/>
            </w:pPr>
            <w:r>
              <w:t xml:space="preserve">преобразования в соглашение вносятся изменения путем заключения дополнительного</w:t>
            </w:r>
            <w:r/>
          </w:p>
          <w:p>
            <w:pPr>
              <w:pStyle w:val="837"/>
            </w:pPr>
            <w:r>
              <w:t xml:space="preserve">соглашения к соглашению в части перемены лица в обязательстве с указанием в соглашении</w:t>
            </w:r>
            <w:r/>
          </w:p>
          <w:p>
            <w:pPr>
              <w:pStyle w:val="837"/>
            </w:pPr>
            <w:r>
              <w:t xml:space="preserve">юридического лица, являющегося правопреемником». При этом отсутствуют сроки в</w:t>
            </w:r>
            <w:r/>
          </w:p>
          <w:p>
            <w:pPr>
              <w:pStyle w:val="837"/>
            </w:pPr>
            <w:r>
              <w:t xml:space="preserve">течение которого образовательная организация должна уведомить АН РТ о реорганизации</w:t>
            </w:r>
            <w:r/>
          </w:p>
          <w:p>
            <w:pPr>
              <w:pStyle w:val="837"/>
            </w:pPr>
            <w:r>
              <w:t xml:space="preserve">и в течение какого срока будет заключено данное дополнительное соглашение также </w:t>
            </w:r>
            <w:r/>
            <w:r>
              <w:t xml:space="preserve">непонятно. Кроме того, не установление требования к юридическому лицу, к которому </w:t>
            </w:r>
            <w:r/>
            <w:r/>
            <w:r>
              <w:t xml:space="preserve">будет присоединяться образовательная организация.</w:t>
            </w:r>
            <w:r/>
            <w:r/>
          </w:p>
          <w:p>
            <w:pPr>
              <w:pStyle w:val="837"/>
            </w:pPr>
            <w:r>
              <w:t xml:space="preserve">На основе п. 2 ст. 1 Федерального закона от 17 июля 2009 г. No172-ФЗ «Об</w:t>
            </w:r>
            <w:r/>
          </w:p>
          <w:p>
            <w:pPr>
              <w:pStyle w:val="837"/>
            </w:pPr>
            <w:r>
              <w:t xml:space="preserve">антикоррупционной экспертизе нормативных правовых актов и проектов нормативных</w:t>
            </w:r>
            <w:r/>
          </w:p>
          <w:p>
            <w:pPr>
              <w:pStyle w:val="837"/>
            </w:pPr>
            <w:r>
              <w:t xml:space="preserve">правовых актов», пп. «ж» п. 3 Методики проведения антикоррупционной экспертизы</w:t>
            </w:r>
            <w:r/>
          </w:p>
          <w:p>
            <w:pPr>
              <w:pStyle w:val="837"/>
            </w:pPr>
            <w:r>
              <w:t xml:space="preserve">нормативных правовых актов и проектов нормативных правовых актов, утвержденной</w:t>
            </w:r>
            <w:r/>
          </w:p>
          <w:p>
            <w:pPr>
              <w:pStyle w:val="837"/>
            </w:pPr>
            <w:r>
              <w:t xml:space="preserve">Постановлением Правительства Российской Федерации No96 от 26 февраля 2010 г. «Об</w:t>
            </w:r>
            <w:r/>
          </w:p>
          <w:p>
            <w:pPr>
              <w:pStyle w:val="837"/>
            </w:pPr>
            <w:r>
              <w:t xml:space="preserve">антикоррупционной экспертизе нормативных правовых актов и проектов нормативных</w:t>
            </w:r>
            <w:r/>
          </w:p>
          <w:p>
            <w:pPr>
              <w:pStyle w:val="837"/>
            </w:pPr>
            <w:r>
              <w:t xml:space="preserve">правовых актов», данное обстоятельство рассматривается как коррупциогенный фактор –</w:t>
            </w:r>
            <w:r/>
          </w:p>
          <w:p>
            <w:pPr>
              <w:pStyle w:val="837"/>
            </w:pPr>
            <w:r>
              <w:t xml:space="preserve">отсутствие или неполнота административных процедур - отсутствие порядка совершения</w:t>
            </w:r>
            <w:r/>
          </w:p>
          <w:p>
            <w:pPr>
              <w:pStyle w:val="837"/>
            </w:pPr>
            <w:r>
              <w:t xml:space="preserve">государственными органами, органами местного самоуправления или организациями (их</w:t>
            </w:r>
            <w:r/>
          </w:p>
          <w:p>
            <w:pPr>
              <w:pStyle w:val="837"/>
            </w:pPr>
            <w:r>
              <w:t xml:space="preserve">должностными лицами) определенных действий либо одного из элементов такого порядка.</w:t>
            </w:r>
            <w:r/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widowControl/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Использованные в 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пункте 7.2. Порядка предоставления гранта</w:t>
            </w:r>
            <w:r/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  формулировк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и аналогичны абзацу второму пункта 4 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едерации от 25 октября 2023 г. № 1782.</w:t>
            </w:r>
            <w:r/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</w:r>
          </w:p>
          <w:p>
            <w:pPr>
              <w:ind w:firstLine="0"/>
              <w:jc w:val="both"/>
              <w:widowControl/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При этом следует обратить внимание, что статьей 60 Гражданского кодекса Российской Федерации не предусмотрена обязанность юридического лица, за исключением случаев, предусмотренных отдельными законами (например, 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часть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ю 8 статьи 13 Федерального закона от 30 декабря 2004 года № 215-ФЗ «О жилищных накопительных кооперативах», пунктом 7 статьи 29 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Федерального закона от 14 ноября 2002 года № 161-ФЗ «О государственных и муниципальных унитарных предприятиях», пунктом 5 статьи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 33 Федерального закона от 7 мая 1998 года № 75-ФЗ «О негосударственных пенсионных фондах», статьей 23.5 Федеральный закон от 2 декабря 1990 года № 395-I «О банках и банковской деятельности»), уведомлять своих кредиторов о своей реорганизации. Напротив, ус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тановление в отсутствие императивных норм действующего законодательства в Порядке предоставления гранта обязанности грантополучателя в обязательном порядке уведомлять грантодателя о своей реорганизации, сроков для заключения дополнительного соглашения, а т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акже требований к юридическим лицам, участвующим вместе с грантополучателем в процедуре реорганизации, станет коррупциогенным фактором, предусмотренным подпунктом «д» пункта 3 Методики.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</w:r>
          </w:p>
          <w:p>
            <w:pPr>
              <w:ind w:firstLine="0"/>
              <w:jc w:val="both"/>
              <w:widowControl/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Таким образом, использованные в п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ункте 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7.2. Порядка о предоставлении гранта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 формулировки не могут рассматриваться как коррупциогенный фактор, предусмотренный подпунктом «ж» пункта 3 Методики – отсутствие или неполнота административных процедур - отсутствие порядка совершения государственными органами, органами местного самоуправл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  <w:t xml:space="preserve">ения или организациями (их должностными лицами) определенных действий либо одного из элементов такого порядка.</w:t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</w:r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</w:r>
            <w:r/>
            <w:r/>
            <w:r>
              <w:rPr>
                <w:rFonts w:ascii="Times New Roman" w:hAnsi="Times New Roman" w:cs="Times New Roman" w:eastAsiaTheme="minorHAnsi"/>
                <w:szCs w:val="28"/>
                <w:lang w:eastAsia="en-US" w:bidi="ar-SA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5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1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4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  <w:style w:type="character" w:styleId="1_633" w:customStyle="1">
    <w:name w:val="Цветовое выделение для Текст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5</cp:revision>
  <dcterms:created xsi:type="dcterms:W3CDTF">2024-05-23T06:14:00Z</dcterms:created>
  <dcterms:modified xsi:type="dcterms:W3CDTF">2025-08-18T08:09:21Z</dcterms:modified>
</cp:coreProperties>
</file>