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7D" w:rsidRPr="00E2317D" w:rsidRDefault="00E2317D" w:rsidP="00E2317D">
      <w:pPr>
        <w:widowControl/>
        <w:ind w:firstLine="0"/>
        <w:jc w:val="center"/>
        <w:rPr>
          <w:rFonts w:ascii="Times New Roman" w:hAnsi="Times New Roman" w:cs="Times New Roman"/>
          <w:lang w:eastAsia="en-US"/>
        </w:rPr>
      </w:pPr>
      <w:r w:rsidRPr="00E2317D">
        <w:rPr>
          <w:rFonts w:ascii="Times New Roman" w:hAnsi="Times New Roman" w:cs="Times New Roman"/>
          <w:lang w:eastAsia="en-US"/>
        </w:rPr>
        <w:t>Сводная информация</w:t>
      </w:r>
    </w:p>
    <w:p w:rsidR="00E2317D" w:rsidRPr="00E2317D" w:rsidRDefault="00E2317D" w:rsidP="00E2317D">
      <w:pPr>
        <w:widowControl/>
        <w:ind w:firstLine="0"/>
        <w:jc w:val="center"/>
        <w:rPr>
          <w:rFonts w:ascii="Times New Roman" w:hAnsi="Times New Roman" w:cs="Times New Roman"/>
          <w:lang w:eastAsia="en-US"/>
        </w:rPr>
      </w:pPr>
      <w:r w:rsidRPr="00E2317D">
        <w:rPr>
          <w:rFonts w:ascii="Times New Roman" w:hAnsi="Times New Roman" w:cs="Times New Roman"/>
          <w:lang w:eastAsia="en-US"/>
        </w:rPr>
        <w:t>по итогам независимой антикоррупционной</w:t>
      </w:r>
    </w:p>
    <w:p w:rsidR="00E2317D" w:rsidRPr="00E2317D" w:rsidRDefault="00E2317D" w:rsidP="00E2317D">
      <w:pPr>
        <w:widowControl/>
        <w:ind w:firstLine="0"/>
        <w:jc w:val="center"/>
        <w:rPr>
          <w:rFonts w:ascii="Times New Roman" w:hAnsi="Times New Roman" w:cs="Times New Roman"/>
          <w:lang w:eastAsia="en-US"/>
        </w:rPr>
      </w:pPr>
      <w:r w:rsidRPr="00E2317D">
        <w:rPr>
          <w:rFonts w:ascii="Times New Roman" w:hAnsi="Times New Roman" w:cs="Times New Roman"/>
          <w:lang w:eastAsia="en-US"/>
        </w:rPr>
        <w:t>экспертизы и (или) общественного обсуждения проекта</w:t>
      </w:r>
    </w:p>
    <w:p w:rsidR="00E2317D" w:rsidRPr="00E2317D" w:rsidRDefault="00E2317D" w:rsidP="00E2317D">
      <w:pPr>
        <w:widowControl/>
        <w:ind w:firstLine="0"/>
        <w:outlineLvl w:val="0"/>
        <w:rPr>
          <w:rFonts w:ascii="Times New Roman" w:hAnsi="Times New Roman" w:cs="Times New Roman"/>
          <w:lang w:eastAsia="en-US"/>
        </w:rPr>
      </w:pPr>
    </w:p>
    <w:p w:rsidR="00A25BDC" w:rsidRDefault="00E2317D" w:rsidP="00A25BDC">
      <w:pPr>
        <w:widowControl/>
        <w:spacing w:line="240" w:lineRule="atLeast"/>
        <w:ind w:firstLine="0"/>
        <w:rPr>
          <w:rFonts w:ascii="Times New Roman" w:hAnsi="Times New Roman" w:cs="Times New Roman"/>
          <w:u w:val="single"/>
          <w:lang w:eastAsia="en-US"/>
        </w:rPr>
      </w:pPr>
      <w:r w:rsidRPr="00E2317D">
        <w:rPr>
          <w:rFonts w:ascii="Times New Roman" w:hAnsi="Times New Roman" w:cs="Times New Roman"/>
          <w:u w:val="single"/>
          <w:lang w:eastAsia="en-US"/>
        </w:rPr>
        <w:t xml:space="preserve">Проект </w:t>
      </w:r>
      <w:r w:rsidR="00A25BDC">
        <w:rPr>
          <w:rFonts w:ascii="Times New Roman" w:hAnsi="Times New Roman" w:cs="Times New Roman"/>
          <w:u w:val="single"/>
          <w:lang w:eastAsia="en-US"/>
        </w:rPr>
        <w:t>постановления Кабинета Министров</w:t>
      </w:r>
      <w:r w:rsidRPr="00E2317D">
        <w:rPr>
          <w:rFonts w:ascii="Times New Roman" w:hAnsi="Times New Roman" w:cs="Times New Roman"/>
          <w:u w:val="single"/>
          <w:lang w:eastAsia="en-US"/>
        </w:rPr>
        <w:t xml:space="preserve"> Республики Татарстан</w:t>
      </w:r>
      <w:r w:rsidR="00A25BDC">
        <w:rPr>
          <w:rFonts w:ascii="Times New Roman" w:hAnsi="Times New Roman" w:cs="Times New Roman"/>
          <w:u w:val="single"/>
          <w:lang w:eastAsia="en-US"/>
        </w:rPr>
        <w:t>___________________________</w:t>
      </w:r>
    </w:p>
    <w:p w:rsidR="00E2317D" w:rsidRPr="00E2317D" w:rsidRDefault="00E2317D" w:rsidP="00751468">
      <w:pPr>
        <w:widowControl/>
        <w:ind w:firstLine="0"/>
        <w:jc w:val="center"/>
        <w:rPr>
          <w:rFonts w:ascii="Courier New" w:hAnsi="Courier New" w:cs="Courier New"/>
          <w:sz w:val="20"/>
          <w:szCs w:val="20"/>
          <w:lang w:eastAsia="en-US"/>
        </w:rPr>
      </w:pPr>
      <w:r w:rsidRPr="00E2317D">
        <w:rPr>
          <w:rFonts w:ascii="Courier New" w:hAnsi="Courier New" w:cs="Courier New"/>
          <w:sz w:val="20"/>
          <w:szCs w:val="20"/>
          <w:lang w:eastAsia="en-US"/>
        </w:rPr>
        <w:t xml:space="preserve">        </w:t>
      </w:r>
      <w:r w:rsidR="00751468" w:rsidRPr="00E2317D">
        <w:rPr>
          <w:rFonts w:ascii="Courier New" w:hAnsi="Courier New" w:cs="Courier New"/>
          <w:sz w:val="20"/>
          <w:szCs w:val="20"/>
          <w:lang w:eastAsia="en-US"/>
        </w:rPr>
        <w:t>(вид нормативного правового акта с указанием органа государственной власти</w:t>
      </w:r>
      <w:r w:rsidRPr="00E2317D">
        <w:rPr>
          <w:rFonts w:ascii="Courier New" w:hAnsi="Courier New" w:cs="Courier New"/>
          <w:sz w:val="20"/>
          <w:szCs w:val="20"/>
          <w:lang w:eastAsia="en-US"/>
        </w:rPr>
        <w:t xml:space="preserve">   Республики Татарстан, уполномоченного на его издание,</w:t>
      </w:r>
    </w:p>
    <w:p w:rsidR="00751468" w:rsidRPr="00751468" w:rsidRDefault="00751468" w:rsidP="00751468">
      <w:pPr>
        <w:widowControl/>
        <w:ind w:firstLine="0"/>
        <w:rPr>
          <w:rFonts w:ascii="Times New Roman" w:hAnsi="Times New Roman" w:cs="Times New Roman"/>
          <w:bCs/>
          <w:sz w:val="2"/>
          <w:szCs w:val="2"/>
          <w:u w:val="single"/>
        </w:rPr>
      </w:pPr>
    </w:p>
    <w:p w:rsidR="00FA68E5" w:rsidRPr="00FA68E5" w:rsidRDefault="00FA68E5" w:rsidP="00FA68E5">
      <w:pPr>
        <w:widowControl/>
        <w:rPr>
          <w:szCs w:val="28"/>
          <w:u w:val="single"/>
        </w:rPr>
      </w:pPr>
      <w:r w:rsidRPr="00FA68E5">
        <w:rPr>
          <w:szCs w:val="28"/>
          <w:u w:val="single"/>
        </w:rPr>
        <w:t>Об утверждении Порядка предоставления в 2025 году субсидии из бюджета Республики Татарстан государственным унитарным предприятиям, источником финансового обеспечения которой являются бюджетные ассигнования резервного фонда Кабинета Министров Республики Татарстан, на возмещение недополученных доходов от осуществления видов экономической деятельности, соответствующих кодам Общероссийского классификатора видов экономической деятельности 35.30.14 «Производство пара и горячей воды (тепловой энергии) котельными», 35.30.3 «Распределение пара и горячей воды (тепловой энергии)», 36.00 «Забор, очистка и распределение воды», 37.00 «Сбор и обработка сточных вод».</w:t>
      </w:r>
    </w:p>
    <w:p w:rsidR="00E2317D" w:rsidRPr="00E2317D" w:rsidRDefault="00E2317D" w:rsidP="009A45F4">
      <w:pPr>
        <w:widowControl/>
        <w:ind w:firstLine="0"/>
        <w:rPr>
          <w:rFonts w:ascii="Courier New" w:hAnsi="Courier New" w:cs="Courier New"/>
          <w:sz w:val="20"/>
          <w:szCs w:val="20"/>
          <w:lang w:eastAsia="en-US"/>
        </w:rPr>
      </w:pPr>
      <w:r w:rsidRPr="00E2317D">
        <w:rPr>
          <w:rFonts w:ascii="Courier New" w:hAnsi="Courier New" w:cs="Courier New"/>
          <w:sz w:val="20"/>
          <w:szCs w:val="20"/>
          <w:lang w:eastAsia="en-US"/>
        </w:rPr>
        <w:t>наименование проекта нормативного правового акта)</w:t>
      </w:r>
    </w:p>
    <w:p w:rsidR="00094394" w:rsidRDefault="00094394"/>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3119"/>
        <w:gridCol w:w="3543"/>
        <w:gridCol w:w="1494"/>
        <w:gridCol w:w="1341"/>
      </w:tblGrid>
      <w:tr w:rsidR="00094394" w:rsidTr="00570972">
        <w:tc>
          <w:tcPr>
            <w:tcW w:w="10216" w:type="dxa"/>
            <w:gridSpan w:val="5"/>
            <w:tcBorders>
              <w:top w:val="single" w:sz="4" w:space="0" w:color="auto"/>
              <w:bottom w:val="single" w:sz="4" w:space="0" w:color="auto"/>
            </w:tcBorders>
          </w:tcPr>
          <w:p w:rsidR="00094394" w:rsidRDefault="00094394">
            <w:pPr>
              <w:pStyle w:val="a5"/>
              <w:jc w:val="center"/>
            </w:pPr>
            <w:r>
              <w:t>Независимая антикоррупционная экспертиза</w:t>
            </w:r>
          </w:p>
        </w:tc>
      </w:tr>
      <w:tr w:rsidR="00094394" w:rsidTr="00570972">
        <w:tc>
          <w:tcPr>
            <w:tcW w:w="719" w:type="dxa"/>
            <w:tcBorders>
              <w:top w:val="single" w:sz="4" w:space="0" w:color="auto"/>
              <w:bottom w:val="single" w:sz="4" w:space="0" w:color="auto"/>
              <w:right w:val="single" w:sz="4" w:space="0" w:color="auto"/>
            </w:tcBorders>
          </w:tcPr>
          <w:p w:rsidR="00094394" w:rsidRDefault="00094394">
            <w:pPr>
              <w:pStyle w:val="a5"/>
              <w:jc w:val="center"/>
            </w:pPr>
            <w:r>
              <w:t>N</w:t>
            </w:r>
          </w:p>
          <w:p w:rsidR="00094394" w:rsidRDefault="00094394">
            <w:pPr>
              <w:pStyle w:val="a5"/>
              <w:jc w:val="center"/>
            </w:pPr>
            <w:r>
              <w:t>п/п</w:t>
            </w:r>
          </w:p>
        </w:tc>
        <w:tc>
          <w:tcPr>
            <w:tcW w:w="3119" w:type="dxa"/>
            <w:tcBorders>
              <w:top w:val="single" w:sz="4" w:space="0" w:color="auto"/>
              <w:left w:val="single" w:sz="4" w:space="0" w:color="auto"/>
              <w:bottom w:val="single" w:sz="4" w:space="0" w:color="auto"/>
              <w:right w:val="single" w:sz="4" w:space="0" w:color="auto"/>
            </w:tcBorders>
          </w:tcPr>
          <w:p w:rsidR="00094394" w:rsidRDefault="00094394">
            <w:pPr>
              <w:pStyle w:val="a5"/>
              <w:jc w:val="center"/>
            </w:pPr>
            <w:r>
              <w:t>Эксперт</w:t>
            </w:r>
          </w:p>
          <w:p w:rsidR="00094394" w:rsidRDefault="00094394">
            <w:pPr>
              <w:pStyle w:val="a5"/>
              <w:jc w:val="center"/>
            </w:pPr>
            <w:r>
              <w:t>(Ф.И.О. (последнее - при наличии)/реквизиты распоряжения об аккредитации)</w:t>
            </w:r>
          </w:p>
        </w:tc>
        <w:tc>
          <w:tcPr>
            <w:tcW w:w="3543" w:type="dxa"/>
            <w:tcBorders>
              <w:top w:val="single" w:sz="4" w:space="0" w:color="auto"/>
              <w:left w:val="single" w:sz="4" w:space="0" w:color="auto"/>
              <w:bottom w:val="single" w:sz="4" w:space="0" w:color="auto"/>
              <w:right w:val="single" w:sz="4" w:space="0" w:color="auto"/>
            </w:tcBorders>
          </w:tcPr>
          <w:p w:rsidR="00094394" w:rsidRDefault="00094394">
            <w:pPr>
              <w:pStyle w:val="a5"/>
              <w:jc w:val="center"/>
            </w:pPr>
            <w:r>
              <w:t xml:space="preserve">Выявленный </w:t>
            </w:r>
            <w:proofErr w:type="spellStart"/>
            <w:r>
              <w:t>коррупц</w:t>
            </w:r>
            <w:bookmarkStart w:id="0" w:name="_GoBack"/>
            <w:bookmarkEnd w:id="0"/>
            <w:r>
              <w:t>иогенный</w:t>
            </w:r>
            <w:proofErr w:type="spellEnd"/>
            <w:r>
              <w:t xml:space="preserve"> фактор</w:t>
            </w:r>
          </w:p>
        </w:tc>
        <w:tc>
          <w:tcPr>
            <w:tcW w:w="2835" w:type="dxa"/>
            <w:gridSpan w:val="2"/>
            <w:tcBorders>
              <w:top w:val="single" w:sz="4" w:space="0" w:color="auto"/>
              <w:left w:val="single" w:sz="4" w:space="0" w:color="auto"/>
              <w:bottom w:val="single" w:sz="4" w:space="0" w:color="auto"/>
            </w:tcBorders>
          </w:tcPr>
          <w:p w:rsidR="00094394" w:rsidRDefault="00094394">
            <w:pPr>
              <w:pStyle w:val="a5"/>
              <w:jc w:val="center"/>
            </w:pPr>
            <w:r>
              <w:t>Комментарии</w:t>
            </w:r>
          </w:p>
          <w:p w:rsidR="00094394" w:rsidRDefault="00094394">
            <w:pPr>
              <w:pStyle w:val="a5"/>
              <w:jc w:val="center"/>
            </w:pPr>
            <w:r>
              <w:t>разработчика</w:t>
            </w:r>
          </w:p>
        </w:tc>
      </w:tr>
      <w:tr w:rsidR="00094394" w:rsidTr="00570972">
        <w:tc>
          <w:tcPr>
            <w:tcW w:w="719" w:type="dxa"/>
            <w:tcBorders>
              <w:top w:val="single" w:sz="4" w:space="0" w:color="auto"/>
              <w:bottom w:val="single" w:sz="4" w:space="0" w:color="auto"/>
              <w:right w:val="single" w:sz="4" w:space="0" w:color="auto"/>
            </w:tcBorders>
          </w:tcPr>
          <w:p w:rsidR="00094394" w:rsidRDefault="00094394">
            <w:pPr>
              <w:pStyle w:val="a5"/>
            </w:pPr>
          </w:p>
        </w:tc>
        <w:tc>
          <w:tcPr>
            <w:tcW w:w="3119" w:type="dxa"/>
            <w:tcBorders>
              <w:top w:val="single" w:sz="4" w:space="0" w:color="auto"/>
              <w:left w:val="single" w:sz="4" w:space="0" w:color="auto"/>
              <w:bottom w:val="single" w:sz="4" w:space="0" w:color="auto"/>
              <w:right w:val="single" w:sz="4" w:space="0" w:color="auto"/>
            </w:tcBorders>
          </w:tcPr>
          <w:p w:rsidR="00094394" w:rsidRDefault="00E2317D">
            <w:pPr>
              <w:pStyle w:val="a5"/>
            </w:pPr>
            <w:r>
              <w:t>нет</w:t>
            </w:r>
          </w:p>
        </w:tc>
        <w:tc>
          <w:tcPr>
            <w:tcW w:w="3543" w:type="dxa"/>
            <w:tcBorders>
              <w:top w:val="single" w:sz="4" w:space="0" w:color="auto"/>
              <w:left w:val="single" w:sz="4" w:space="0" w:color="auto"/>
              <w:bottom w:val="single" w:sz="4" w:space="0" w:color="auto"/>
              <w:right w:val="single" w:sz="4" w:space="0" w:color="auto"/>
            </w:tcBorders>
          </w:tcPr>
          <w:p w:rsidR="00094394" w:rsidRDefault="00E2317D">
            <w:pPr>
              <w:pStyle w:val="a5"/>
            </w:pPr>
            <w:r>
              <w:t>нет</w:t>
            </w:r>
          </w:p>
        </w:tc>
        <w:tc>
          <w:tcPr>
            <w:tcW w:w="2835" w:type="dxa"/>
            <w:gridSpan w:val="2"/>
            <w:tcBorders>
              <w:top w:val="single" w:sz="4" w:space="0" w:color="auto"/>
              <w:left w:val="single" w:sz="4" w:space="0" w:color="auto"/>
              <w:bottom w:val="single" w:sz="4" w:space="0" w:color="auto"/>
            </w:tcBorders>
          </w:tcPr>
          <w:p w:rsidR="00094394" w:rsidRDefault="00E2317D">
            <w:pPr>
              <w:pStyle w:val="a5"/>
            </w:pPr>
            <w:r>
              <w:t>нет</w:t>
            </w:r>
          </w:p>
        </w:tc>
      </w:tr>
      <w:tr w:rsidR="00094394" w:rsidTr="00570972">
        <w:tc>
          <w:tcPr>
            <w:tcW w:w="719" w:type="dxa"/>
            <w:tcBorders>
              <w:top w:val="single" w:sz="4" w:space="0" w:color="auto"/>
              <w:bottom w:val="single" w:sz="4" w:space="0" w:color="auto"/>
              <w:right w:val="single" w:sz="4" w:space="0" w:color="auto"/>
            </w:tcBorders>
          </w:tcPr>
          <w:p w:rsidR="00094394" w:rsidRDefault="00094394">
            <w:pPr>
              <w:pStyle w:val="a5"/>
            </w:pPr>
          </w:p>
        </w:tc>
        <w:tc>
          <w:tcPr>
            <w:tcW w:w="3119" w:type="dxa"/>
            <w:tcBorders>
              <w:top w:val="single" w:sz="4" w:space="0" w:color="auto"/>
              <w:left w:val="single" w:sz="4" w:space="0" w:color="auto"/>
              <w:bottom w:val="single" w:sz="4" w:space="0" w:color="auto"/>
              <w:right w:val="single" w:sz="4" w:space="0" w:color="auto"/>
            </w:tcBorders>
          </w:tcPr>
          <w:p w:rsidR="00094394" w:rsidRDefault="00094394">
            <w:pPr>
              <w:pStyle w:val="a5"/>
            </w:pPr>
          </w:p>
        </w:tc>
        <w:tc>
          <w:tcPr>
            <w:tcW w:w="3543" w:type="dxa"/>
            <w:tcBorders>
              <w:top w:val="single" w:sz="4" w:space="0" w:color="auto"/>
              <w:left w:val="single" w:sz="4" w:space="0" w:color="auto"/>
              <w:bottom w:val="single" w:sz="4" w:space="0" w:color="auto"/>
              <w:right w:val="single" w:sz="4" w:space="0" w:color="auto"/>
            </w:tcBorders>
          </w:tcPr>
          <w:p w:rsidR="00094394" w:rsidRDefault="00094394">
            <w:pPr>
              <w:pStyle w:val="a5"/>
            </w:pPr>
          </w:p>
        </w:tc>
        <w:tc>
          <w:tcPr>
            <w:tcW w:w="2835" w:type="dxa"/>
            <w:gridSpan w:val="2"/>
            <w:tcBorders>
              <w:top w:val="single" w:sz="4" w:space="0" w:color="auto"/>
              <w:left w:val="single" w:sz="4" w:space="0" w:color="auto"/>
              <w:bottom w:val="single" w:sz="4" w:space="0" w:color="auto"/>
            </w:tcBorders>
          </w:tcPr>
          <w:p w:rsidR="00094394" w:rsidRDefault="00094394">
            <w:pPr>
              <w:pStyle w:val="a5"/>
            </w:pPr>
          </w:p>
        </w:tc>
      </w:tr>
      <w:tr w:rsidR="00094394" w:rsidTr="00570972">
        <w:tc>
          <w:tcPr>
            <w:tcW w:w="719" w:type="dxa"/>
            <w:tcBorders>
              <w:top w:val="single" w:sz="4" w:space="0" w:color="auto"/>
              <w:bottom w:val="single" w:sz="4" w:space="0" w:color="auto"/>
              <w:right w:val="single" w:sz="4" w:space="0" w:color="auto"/>
            </w:tcBorders>
          </w:tcPr>
          <w:p w:rsidR="00094394" w:rsidRDefault="00094394">
            <w:pPr>
              <w:pStyle w:val="a5"/>
            </w:pPr>
          </w:p>
        </w:tc>
        <w:tc>
          <w:tcPr>
            <w:tcW w:w="3119" w:type="dxa"/>
            <w:tcBorders>
              <w:top w:val="single" w:sz="4" w:space="0" w:color="auto"/>
              <w:left w:val="single" w:sz="4" w:space="0" w:color="auto"/>
              <w:bottom w:val="single" w:sz="4" w:space="0" w:color="auto"/>
              <w:right w:val="single" w:sz="4" w:space="0" w:color="auto"/>
            </w:tcBorders>
          </w:tcPr>
          <w:p w:rsidR="00094394" w:rsidRDefault="00094394">
            <w:pPr>
              <w:pStyle w:val="a5"/>
            </w:pPr>
          </w:p>
        </w:tc>
        <w:tc>
          <w:tcPr>
            <w:tcW w:w="3543" w:type="dxa"/>
            <w:tcBorders>
              <w:top w:val="single" w:sz="4" w:space="0" w:color="auto"/>
              <w:left w:val="single" w:sz="4" w:space="0" w:color="auto"/>
              <w:bottom w:val="single" w:sz="4" w:space="0" w:color="auto"/>
              <w:right w:val="single" w:sz="4" w:space="0" w:color="auto"/>
            </w:tcBorders>
          </w:tcPr>
          <w:p w:rsidR="00094394" w:rsidRDefault="00094394">
            <w:pPr>
              <w:pStyle w:val="a5"/>
            </w:pPr>
          </w:p>
        </w:tc>
        <w:tc>
          <w:tcPr>
            <w:tcW w:w="2835" w:type="dxa"/>
            <w:gridSpan w:val="2"/>
            <w:tcBorders>
              <w:top w:val="single" w:sz="4" w:space="0" w:color="auto"/>
              <w:left w:val="single" w:sz="4" w:space="0" w:color="auto"/>
              <w:bottom w:val="single" w:sz="4" w:space="0" w:color="auto"/>
            </w:tcBorders>
          </w:tcPr>
          <w:p w:rsidR="00094394" w:rsidRDefault="00094394">
            <w:pPr>
              <w:pStyle w:val="a5"/>
            </w:pPr>
          </w:p>
        </w:tc>
      </w:tr>
      <w:tr w:rsidR="00E2317D" w:rsidTr="00570972">
        <w:tc>
          <w:tcPr>
            <w:tcW w:w="8875" w:type="dxa"/>
            <w:gridSpan w:val="4"/>
            <w:tcBorders>
              <w:top w:val="single" w:sz="4" w:space="0" w:color="auto"/>
              <w:bottom w:val="single" w:sz="4" w:space="0" w:color="auto"/>
              <w:right w:val="single" w:sz="4" w:space="0" w:color="auto"/>
            </w:tcBorders>
          </w:tcPr>
          <w:p w:rsidR="00E2317D" w:rsidRDefault="00E2317D">
            <w:pPr>
              <w:pStyle w:val="a7"/>
            </w:pPr>
            <w:r>
              <w:t>Общее количество поступивших предложений</w:t>
            </w:r>
          </w:p>
        </w:tc>
        <w:tc>
          <w:tcPr>
            <w:tcW w:w="1341" w:type="dxa"/>
            <w:tcBorders>
              <w:top w:val="single" w:sz="4" w:space="0" w:color="auto"/>
              <w:left w:val="single" w:sz="4" w:space="0" w:color="auto"/>
              <w:bottom w:val="single" w:sz="4" w:space="0" w:color="auto"/>
            </w:tcBorders>
            <w:vAlign w:val="center"/>
          </w:tcPr>
          <w:p w:rsidR="00E2317D" w:rsidRDefault="00E2317D" w:rsidP="00E2317D">
            <w:pPr>
              <w:ind w:firstLine="0"/>
              <w:jc w:val="left"/>
            </w:pPr>
            <w:r w:rsidRPr="00035F2D">
              <w:t>нет</w:t>
            </w:r>
          </w:p>
        </w:tc>
      </w:tr>
      <w:tr w:rsidR="00E2317D" w:rsidTr="00570972">
        <w:tc>
          <w:tcPr>
            <w:tcW w:w="8875" w:type="dxa"/>
            <w:gridSpan w:val="4"/>
            <w:tcBorders>
              <w:top w:val="single" w:sz="4" w:space="0" w:color="auto"/>
              <w:bottom w:val="single" w:sz="4" w:space="0" w:color="auto"/>
              <w:right w:val="single" w:sz="4" w:space="0" w:color="auto"/>
            </w:tcBorders>
          </w:tcPr>
          <w:p w:rsidR="00E2317D" w:rsidRDefault="00E2317D">
            <w:pPr>
              <w:pStyle w:val="a7"/>
            </w:pPr>
            <w:r>
              <w:t>Общее количество учтенных предложений</w:t>
            </w:r>
          </w:p>
        </w:tc>
        <w:tc>
          <w:tcPr>
            <w:tcW w:w="1341" w:type="dxa"/>
            <w:tcBorders>
              <w:top w:val="single" w:sz="4" w:space="0" w:color="auto"/>
              <w:left w:val="single" w:sz="4" w:space="0" w:color="auto"/>
              <w:bottom w:val="single" w:sz="4" w:space="0" w:color="auto"/>
            </w:tcBorders>
            <w:vAlign w:val="center"/>
          </w:tcPr>
          <w:p w:rsidR="00E2317D" w:rsidRDefault="00E2317D" w:rsidP="00E2317D">
            <w:pPr>
              <w:ind w:firstLine="0"/>
              <w:jc w:val="left"/>
            </w:pPr>
            <w:r w:rsidRPr="00035F2D">
              <w:t>нет</w:t>
            </w:r>
          </w:p>
        </w:tc>
      </w:tr>
      <w:tr w:rsidR="00E2317D" w:rsidTr="00570972">
        <w:tc>
          <w:tcPr>
            <w:tcW w:w="8875" w:type="dxa"/>
            <w:gridSpan w:val="4"/>
            <w:tcBorders>
              <w:top w:val="single" w:sz="4" w:space="0" w:color="auto"/>
              <w:bottom w:val="single" w:sz="4" w:space="0" w:color="auto"/>
              <w:right w:val="single" w:sz="4" w:space="0" w:color="auto"/>
            </w:tcBorders>
          </w:tcPr>
          <w:p w:rsidR="00E2317D" w:rsidRDefault="00E2317D">
            <w:pPr>
              <w:pStyle w:val="a7"/>
            </w:pPr>
            <w:r>
              <w:t>Общее количество частично учтенных предложений</w:t>
            </w:r>
          </w:p>
        </w:tc>
        <w:tc>
          <w:tcPr>
            <w:tcW w:w="1341" w:type="dxa"/>
            <w:tcBorders>
              <w:top w:val="single" w:sz="4" w:space="0" w:color="auto"/>
              <w:left w:val="single" w:sz="4" w:space="0" w:color="auto"/>
              <w:bottom w:val="single" w:sz="4" w:space="0" w:color="auto"/>
            </w:tcBorders>
            <w:vAlign w:val="center"/>
          </w:tcPr>
          <w:p w:rsidR="00E2317D" w:rsidRDefault="00E2317D" w:rsidP="00E2317D">
            <w:pPr>
              <w:ind w:firstLine="0"/>
              <w:jc w:val="left"/>
            </w:pPr>
            <w:r w:rsidRPr="00035F2D">
              <w:t>нет</w:t>
            </w:r>
          </w:p>
        </w:tc>
      </w:tr>
      <w:tr w:rsidR="00E2317D" w:rsidTr="00570972">
        <w:tc>
          <w:tcPr>
            <w:tcW w:w="8875" w:type="dxa"/>
            <w:gridSpan w:val="4"/>
            <w:tcBorders>
              <w:top w:val="single" w:sz="4" w:space="0" w:color="auto"/>
              <w:bottom w:val="single" w:sz="4" w:space="0" w:color="auto"/>
              <w:right w:val="single" w:sz="4" w:space="0" w:color="auto"/>
            </w:tcBorders>
          </w:tcPr>
          <w:p w:rsidR="00E2317D" w:rsidRDefault="00E2317D">
            <w:pPr>
              <w:pStyle w:val="a7"/>
            </w:pPr>
            <w:r>
              <w:t>Общее количество неучтенных предложений</w:t>
            </w:r>
          </w:p>
        </w:tc>
        <w:tc>
          <w:tcPr>
            <w:tcW w:w="1341" w:type="dxa"/>
            <w:tcBorders>
              <w:top w:val="single" w:sz="4" w:space="0" w:color="auto"/>
              <w:left w:val="single" w:sz="4" w:space="0" w:color="auto"/>
              <w:bottom w:val="single" w:sz="4" w:space="0" w:color="auto"/>
            </w:tcBorders>
            <w:vAlign w:val="center"/>
          </w:tcPr>
          <w:p w:rsidR="00E2317D" w:rsidRDefault="00E2317D" w:rsidP="00E2317D">
            <w:pPr>
              <w:ind w:firstLine="0"/>
              <w:jc w:val="left"/>
            </w:pPr>
            <w:r w:rsidRPr="00035F2D">
              <w:t>нет</w:t>
            </w:r>
          </w:p>
        </w:tc>
      </w:tr>
    </w:tbl>
    <w:p w:rsidR="00094394" w:rsidRDefault="00094394"/>
    <w:p w:rsidR="00094394" w:rsidRDefault="00094394"/>
    <w:sectPr w:rsidR="00094394">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7D"/>
    <w:rsid w:val="00035F2D"/>
    <w:rsid w:val="00094394"/>
    <w:rsid w:val="00155F8B"/>
    <w:rsid w:val="001A5349"/>
    <w:rsid w:val="00414D76"/>
    <w:rsid w:val="00570972"/>
    <w:rsid w:val="00585FEB"/>
    <w:rsid w:val="006D6BAE"/>
    <w:rsid w:val="00751468"/>
    <w:rsid w:val="007B04CF"/>
    <w:rsid w:val="009A45F4"/>
    <w:rsid w:val="00A25BDC"/>
    <w:rsid w:val="00AC34FF"/>
    <w:rsid w:val="00AD4C62"/>
    <w:rsid w:val="00B129F9"/>
    <w:rsid w:val="00E2317D"/>
    <w:rsid w:val="00FA68E5"/>
    <w:rsid w:val="00FD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3EF100-9405-4386-B421-DEF4B788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1299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Раиль Гайфуллин</cp:lastModifiedBy>
  <cp:revision>5</cp:revision>
  <dcterms:created xsi:type="dcterms:W3CDTF">2025-07-03T14:30:00Z</dcterms:created>
  <dcterms:modified xsi:type="dcterms:W3CDTF">2025-08-05T11:25:00Z</dcterms:modified>
</cp:coreProperties>
</file>