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информация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экспертизы проекта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ind w:right="175"/>
        <w:jc w:val="center"/>
        <w:tabs>
          <w:tab w:val="left" w:pos="4395" w:leader="none"/>
          <w:tab w:val="left" w:pos="482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Кабинета Министров Республики Татарстан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предоставления субсидий из бюджета Республики Татарстан на финансовое обеспечение (возмещение) затрат, связанных с комплексным сопровождением и поддержкой проектов развития субъектов малого и среднего предпринимательства, а также про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зон».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(вид нормативного правового акта с указанием органа государственной власти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Республики Татарстан, уполномоченного на его издание,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</w:pPr>
      <w:r/>
      <w:r/>
    </w:p>
    <w:p>
      <w:pPr>
        <w:pStyle w:val="839"/>
        <w:ind w:right="175"/>
        <w:tabs>
          <w:tab w:val="left" w:pos="4395" w:leader="none"/>
          <w:tab w:val="left" w:pos="482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Порядка предоставления субсидий из бюджета Республики Татарстан на финансовое обеспечение (возмещение) затра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т, связанных с комплексным сопровождением и 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ысоких технологий, особых экономических зон»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ind w:right="175"/>
        <w:jc w:val="center"/>
        <w:tabs>
          <w:tab w:val="left" w:pos="4395" w:leader="none"/>
          <w:tab w:val="left" w:pos="48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наименование проекта нормативного правового акта)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14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68"/>
        <w:gridCol w:w="2809"/>
        <w:gridCol w:w="3890"/>
        <w:gridCol w:w="23"/>
        <w:gridCol w:w="2753"/>
      </w:tblGrid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антикоррупционная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наличии)/реквизиты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распоряжения об аккредитации)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коррупциогенный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Хамидуллина Гульназ Мунировна/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аккредитованной распоряжением Министерства юстиции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.09.2022 № 1304-р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pStyle w:val="675"/>
              <w:numPr>
                <w:ilvl w:val="0"/>
                <w:numId w:val="1"/>
              </w:num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«Пункт 11 Порядка предоставления субсидий проекта: одним из учредителей участника отбора является Республика Татарстан.»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75"/>
              <w:numPr>
                <w:ilvl w:val="0"/>
                <w:numId w:val="1"/>
              </w:numPr>
              <w:spacing w:after="0" w:line="240" w:lineRule="auto"/>
              <w:widowControl w:val="off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Пункты 5,10,26 Порядка предоставления субсидий проекта: «5. Отбор получателя субсидии для предоставления субсидии (далее - отбор) осуществляется посредством запроса предложений (заявок) исходя из соответствия участника отбора критериям отбора и очереднос</w:t>
            </w:r>
            <w:r>
              <w:rPr>
                <w:rFonts w:ascii="Times New Roman" w:hAnsi="Times New Roman" w:cs="Times New Roman"/>
              </w:rPr>
              <w:t xml:space="preserve">ти поступления предложений (заявок) на участие в отборе (далее - заявка). 10. Отбор получателя субсидии для </w:t>
            </w:r>
            <w:r>
              <w:rPr>
                <w:rFonts w:ascii="Times New Roman" w:hAnsi="Times New Roman" w:cs="Times New Roman"/>
              </w:rPr>
              <w:t xml:space="preserve">предоставления субсидии (далее – отбор) осуществляет Министерство путем запроса предложений (заявок) для участия в отборе (далее – заявка), направле</w:t>
            </w:r>
            <w:r>
              <w:rPr>
                <w:rFonts w:ascii="Times New Roman" w:hAnsi="Times New Roman" w:cs="Times New Roman"/>
              </w:rPr>
              <w:t xml:space="preserve">нных участниками отбора, исходя из соответствия участника отбора критериям отбора и очередности поступления заявок.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75"/>
              <w:numPr>
                <w:ilvl w:val="0"/>
                <w:numId w:val="1"/>
              </w:numPr>
              <w:spacing w:after="0" w:line="240" w:lineRule="auto"/>
              <w:widowControl w:val="off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Пункт 36 Порядка предоставления субсидий проекта: «36. В случае нарушения получателем субсидии условий, установленных при предоставлении субсидии, или установления факта представления получателем субсидии ложных либо намеренно искаженных сведений, выявленн</w:t>
            </w:r>
            <w:r>
              <w:rPr>
                <w:rFonts w:ascii="Times New Roman" w:hAnsi="Times New Roman" w:cs="Times New Roman"/>
              </w:rPr>
              <w:t xml:space="preserve">ых в том числе по фактам проведенных Министерством и органами государственного финансового контроля проверок, субсидия подлежит возврату в бюджет Республики Татарстан в полном объеме.»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систему электронного документооборота загружено на согласование проект постано</w:t>
            </w:r>
            <w:r>
              <w:rPr>
                <w:rFonts w:ascii="Times New Roman" w:hAnsi="Times New Roman" w:cs="Times New Roman"/>
              </w:rPr>
              <w:t xml:space="preserve">вления, в котором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/>
              </w:rPr>
              <w:t xml:space="preserve"> учтены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замечания эксперта, а именно: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абзац четвертый пункта 11 </w:t>
            </w:r>
            <w:r>
              <w:rPr>
                <w:rFonts w:ascii="Times New Roman" w:hAnsi="Times New Roman" w:cs="Times New Roman"/>
              </w:rPr>
              <w:t xml:space="preserve">об обязательном участии Республики Татарстан в составе учредителей исключен из критериев отбора; 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spacing w:after="0" w:line="240" w:lineRule="auto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Очередность </w:t>
            </w:r>
            <w:r>
              <w:rPr>
                <w:rFonts w:ascii="Times New Roman" w:hAnsi="Times New Roman" w:cs="Times New Roman"/>
              </w:rPr>
              <w:t xml:space="preserve">рассмотрения и ранжирование заявок 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 пунктах 5,10,26  </w:t>
            </w:r>
            <w:r>
              <w:rPr>
                <w:rFonts w:ascii="Times New Roman" w:hAnsi="Times New Roman" w:cs="Times New Roman"/>
              </w:rPr>
              <w:t xml:space="preserve">проекта постановления  соответствует подпункту в) п.25 Постановления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</w:t>
            </w:r>
            <w:r>
              <w:rPr>
                <w:rFonts w:ascii="Times New Roman" w:hAnsi="Times New Roman" w:cs="Times New Roman"/>
              </w:rPr>
              <w:t xml:space="preserve">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      </w:r>
            <w:r>
              <w:rPr>
                <w:rFonts w:ascii="Times New Roman" w:hAnsi="Times New Roman" w:cs="Times New Roman"/>
              </w:rPr>
              <w:t xml:space="preserve">числе грантов в форме субсидий» (с изменениями и дополнениями от 16.11.2024 № 1573), в котором  закреплено положение о том, что правовой акт субъекта Российской Федерации, регулирующий предоставление из бюджета субъекта Российской Федерации субсидий юридич</w:t>
            </w:r>
            <w:r>
              <w:rPr>
                <w:rFonts w:ascii="Times New Roman" w:hAnsi="Times New Roman" w:cs="Times New Roman"/>
              </w:rPr>
              <w:t xml:space="preserve">еским лицам, предусматривается применение одного из 2-х способов отбора получателей субсидий: запрос предложений или конкурс. При проведении отбора путем запроса предложений порядок ранжирования поступивших заявок определяется исходя из очередности их пост</w:t>
            </w:r>
            <w:r>
              <w:rPr>
                <w:rFonts w:ascii="Times New Roman" w:hAnsi="Times New Roman" w:cs="Times New Roman"/>
              </w:rPr>
              <w:t xml:space="preserve">упления. Бальная система оценки используется при определении получателя субсидии по результатам конкурса.</w:t>
            </w:r>
            <w:r/>
            <w:r/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В пункте 36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слова «ложных либо намеренно искаженных сведений» заменены на слова «недостоверной информации, содержащейся в представленных документах».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3"/>
    <w:uiPriority w:val="10"/>
    <w:rPr>
      <w:sz w:val="48"/>
      <w:szCs w:val="48"/>
    </w:rPr>
  </w:style>
  <w:style w:type="character" w:styleId="37">
    <w:name w:val="Subtitle Char"/>
    <w:basedOn w:val="663"/>
    <w:link w:val="678"/>
    <w:uiPriority w:val="11"/>
    <w:rPr>
      <w:sz w:val="24"/>
      <w:szCs w:val="24"/>
    </w:rPr>
  </w:style>
  <w:style w:type="character" w:styleId="39">
    <w:name w:val="Quote Char"/>
    <w:link w:val="680"/>
    <w:uiPriority w:val="29"/>
    <w:rPr>
      <w:i/>
    </w:rPr>
  </w:style>
  <w:style w:type="character" w:styleId="41">
    <w:name w:val="Intense Quote Char"/>
    <w:link w:val="682"/>
    <w:uiPriority w:val="30"/>
    <w:rPr>
      <w:i/>
    </w:rPr>
  </w:style>
  <w:style w:type="character" w:styleId="43">
    <w:name w:val="Header Char"/>
    <w:basedOn w:val="663"/>
    <w:link w:val="684"/>
    <w:uiPriority w:val="99"/>
  </w:style>
  <w:style w:type="character" w:styleId="47">
    <w:name w:val="Caption Char"/>
    <w:basedOn w:val="836"/>
    <w:link w:val="686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  <w:pPr>
      <w:spacing w:after="200" w:line="276" w:lineRule="auto"/>
    </w:p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character" w:styleId="677" w:customStyle="1">
    <w:name w:val="Заголовок Знак"/>
    <w:basedOn w:val="663"/>
    <w:link w:val="833"/>
    <w:uiPriority w:val="10"/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paragraph" w:styleId="684">
    <w:name w:val="Header"/>
    <w:basedOn w:val="65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Верхний колонтитул Знак"/>
    <w:basedOn w:val="663"/>
    <w:link w:val="684"/>
    <w:uiPriority w:val="99"/>
  </w:style>
  <w:style w:type="paragraph" w:styleId="686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Footer Char"/>
    <w:basedOn w:val="663"/>
    <w:uiPriority w:val="99"/>
  </w:style>
  <w:style w:type="character" w:styleId="688" w:customStyle="1">
    <w:name w:val="Нижний колонтитул Знак"/>
    <w:link w:val="686"/>
    <w:uiPriority w:val="99"/>
  </w:style>
  <w:style w:type="table" w:styleId="689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3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3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Title"/>
    <w:basedOn w:val="653"/>
    <w:next w:val="834"/>
    <w:link w:val="67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4">
    <w:name w:val="Body Text"/>
    <w:basedOn w:val="653"/>
    <w:pPr>
      <w:spacing w:after="140"/>
    </w:pPr>
  </w:style>
  <w:style w:type="paragraph" w:styleId="835">
    <w:name w:val="List"/>
    <w:basedOn w:val="834"/>
    <w:rPr>
      <w:rFonts w:ascii="PT Astra Serif" w:hAnsi="PT Astra Serif" w:cs="Noto Sans Devanagari"/>
    </w:rPr>
  </w:style>
  <w:style w:type="paragraph" w:styleId="836">
    <w:name w:val="Caption"/>
    <w:basedOn w:val="653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7">
    <w:name w:val="index heading"/>
    <w:basedOn w:val="653"/>
    <w:qFormat/>
    <w:pPr>
      <w:suppressLineNumbers/>
    </w:pPr>
    <w:rPr>
      <w:rFonts w:ascii="PT Astra Serif" w:hAnsi="PT Astra Serif" w:cs="Noto Sans Devanagari"/>
    </w:rPr>
  </w:style>
  <w:style w:type="paragraph" w:styleId="838" w:customStyle="1">
    <w:name w:val="Обычный1"/>
    <w:qFormat/>
    <w:pPr>
      <w:spacing w:before="100" w:after="10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39" w:customStyle="1">
    <w:name w:val="ConsPlusTitle"/>
    <w:uiPriority w:val="99"/>
    <w:qFormat/>
    <w:pPr>
      <w:widowControl w:val="off"/>
    </w:pPr>
    <w:rPr>
      <w:rFonts w:cs="Calibri"/>
      <w:b/>
      <w:bCs/>
      <w:lang w:eastAsia="ru-RU"/>
    </w:rPr>
  </w:style>
  <w:style w:type="paragraph" w:styleId="840" w:customStyle="1">
    <w:name w:val="ConsPlusNormal"/>
    <w:qFormat/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Горновская</dc:creator>
  <dc:description/>
  <dc:language>ru-RU</dc:language>
  <cp:revision>20</cp:revision>
  <dcterms:created xsi:type="dcterms:W3CDTF">2024-03-28T13:55:00Z</dcterms:created>
  <dcterms:modified xsi:type="dcterms:W3CDTF">2025-07-09T14:05:39Z</dcterms:modified>
</cp:coreProperties>
</file>