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t-a"/>
        <w:shd w:val="clear" w:color="auto" w:fill="FFFFFF"/>
        <w:spacing w:beforeAutospacing="0" w:before="0" w:afterAutospacing="0" w:after="0"/>
        <w:jc w:val="center"/>
        <w:rPr>
          <w:rStyle w:val="Pt-a0"/>
          <w:bCs/>
          <w:color w:val="000000"/>
          <w:sz w:val="28"/>
          <w:szCs w:val="28"/>
        </w:rPr>
      </w:pPr>
      <w:r>
        <w:rPr>
          <w:rStyle w:val="Pt-a0"/>
          <w:bCs/>
          <w:color w:val="000000"/>
          <w:sz w:val="28"/>
          <w:szCs w:val="28"/>
        </w:rPr>
        <w:t xml:space="preserve">Сводная информация </w:t>
      </w:r>
    </w:p>
    <w:p>
      <w:pPr>
        <w:pStyle w:val="Pt-a"/>
        <w:shd w:val="clear" w:color="auto" w:fill="FFFFFF"/>
        <w:spacing w:before="280" w:after="0"/>
        <w:jc w:val="center"/>
        <w:rPr>
          <w:bCs/>
          <w:color w:val="000000"/>
          <w:sz w:val="28"/>
          <w:szCs w:val="28"/>
        </w:rPr>
      </w:pPr>
      <w:r>
        <w:rPr>
          <w:rStyle w:val="Pt-a0"/>
          <w:bCs/>
          <w:color w:val="000000"/>
          <w:sz w:val="28"/>
          <w:szCs w:val="28"/>
        </w:rPr>
        <w:t>по итогам независимой антикоррупционной экспертизы и (или) общественного обсуждения проекта постановления Кабинета Министров Республики Татарстан «Об утверждении Порядка получения государственными гражданскими служащими Республики Татарстан, назначение на должность которых осуществляется Кабинетом Министров Республики Татарстан, разрешения представителя нанимателя на участие на безвозмездной основе в управлении некоммерческой организацией»</w:t>
      </w:r>
    </w:p>
    <w:tbl>
      <w:tblPr>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2"/>
        <w:gridCol w:w="2473"/>
        <w:gridCol w:w="3293"/>
        <w:gridCol w:w="3172"/>
      </w:tblGrid>
      <w:tr>
        <w:trPr/>
        <w:tc>
          <w:tcPr>
            <w:tcW w:w="9570" w:type="dxa"/>
            <w:gridSpan w:val="4"/>
            <w:tcBorders>
              <w:top w:val="single" w:sz="4" w:space="0" w:color="000000"/>
              <w:left w:val="single" w:sz="4" w:space="0" w:color="000000"/>
              <w:bottom w:val="single" w:sz="4" w:space="0" w:color="000000"/>
              <w:right w:val="single" w:sz="4" w:space="0" w:color="000000"/>
            </w:tcBorders>
          </w:tcPr>
          <w:p>
            <w:pPr>
              <w:pStyle w:val="Pt-a"/>
              <w:widowControl w:val="false"/>
              <w:shd w:val="clear" w:color="auto" w:fill="FFFFFF"/>
              <w:spacing w:beforeAutospacing="0" w:before="120" w:afterAutospacing="0" w:after="120"/>
              <w:ind w:left="720" w:hanging="0"/>
              <w:jc w:val="center"/>
              <w:rPr>
                <w:b/>
                <w:sz w:val="28"/>
                <w:szCs w:val="28"/>
              </w:rPr>
            </w:pPr>
            <w:r>
              <w:rPr>
                <w:b/>
                <w:sz w:val="28"/>
                <w:szCs w:val="28"/>
              </w:rPr>
              <w:t>Независимая антикоррупционная экспертиза</w:t>
            </w:r>
          </w:p>
        </w:tc>
      </w:tr>
      <w:tr>
        <w:trPr/>
        <w:tc>
          <w:tcPr>
            <w:tcW w:w="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w:t>
            </w:r>
          </w:p>
        </w:tc>
        <w:tc>
          <w:tcPr>
            <w:tcW w:w="2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t>Эксперт</w:t>
            </w:r>
          </w:p>
          <w:p>
            <w:pPr>
              <w:pStyle w:val="Normal"/>
              <w:widowControl w:val="false"/>
              <w:spacing w:lineRule="auto" w:line="240" w:before="0" w:after="0"/>
              <w:jc w:val="center"/>
              <w:rPr>
                <w:rFonts w:ascii="Times New Roman" w:hAnsi="Times New Roman" w:eastAsia="Times New Roman"/>
                <w:b/>
                <w:bCs/>
                <w:sz w:val="18"/>
                <w:szCs w:val="18"/>
                <w:lang w:eastAsia="ru-RU"/>
              </w:rPr>
            </w:pPr>
            <w:r>
              <w:rPr>
                <w:rFonts w:eastAsia="Times New Roman" w:ascii="Times New Roman" w:hAnsi="Times New Roman"/>
                <w:b/>
                <w:bCs/>
                <w:sz w:val="18"/>
                <w:szCs w:val="18"/>
                <w:lang w:eastAsia="ru-RU"/>
              </w:rPr>
              <w:t>(Ф.И.О.</w:t>
            </w:r>
            <w:r>
              <w:rPr>
                <w:rFonts w:eastAsia="Times New Roman" w:ascii="Times New Roman" w:hAnsi="Times New Roman"/>
                <w:b/>
                <w:bCs/>
                <w:sz w:val="14"/>
                <w:szCs w:val="14"/>
                <w:lang w:eastAsia="ru-RU"/>
              </w:rPr>
              <w:t xml:space="preserve">(последнее – при наличии) </w:t>
            </w:r>
            <w:r>
              <w:rPr>
                <w:rFonts w:eastAsia="Times New Roman" w:ascii="Times New Roman" w:hAnsi="Times New Roman"/>
                <w:b/>
                <w:bCs/>
                <w:sz w:val="18"/>
                <w:szCs w:val="18"/>
                <w:lang w:eastAsia="ru-RU"/>
              </w:rPr>
              <w:t>/ реквизиты распоряжения Минюста России</w:t>
            </w:r>
          </w:p>
          <w:p>
            <w:pPr>
              <w:pStyle w:val="Normal"/>
              <w:widowControl w:val="false"/>
              <w:spacing w:lineRule="auto" w:line="240" w:before="0" w:after="0"/>
              <w:jc w:val="center"/>
              <w:rPr>
                <w:rFonts w:ascii="Times New Roman" w:hAnsi="Times New Roman" w:eastAsia="Times New Roman"/>
                <w:b/>
                <w:bCs/>
                <w:sz w:val="18"/>
                <w:szCs w:val="18"/>
                <w:lang w:eastAsia="ru-RU"/>
              </w:rPr>
            </w:pPr>
            <w:r>
              <w:rPr>
                <w:rFonts w:eastAsia="Times New Roman" w:ascii="Times New Roman" w:hAnsi="Times New Roman"/>
                <w:b/>
                <w:bCs/>
                <w:sz w:val="18"/>
                <w:szCs w:val="18"/>
                <w:lang w:eastAsia="ru-RU"/>
              </w:rPr>
              <w:t>об аккредитации)</w:t>
            </w:r>
          </w:p>
        </w:tc>
        <w:tc>
          <w:tcPr>
            <w:tcW w:w="32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Выявленный коррупциогенный фактор</w:t>
            </w:r>
          </w:p>
        </w:tc>
        <w:tc>
          <w:tcPr>
            <w:tcW w:w="3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Комментарии разработчика</w:t>
            </w:r>
          </w:p>
        </w:tc>
      </w:tr>
      <w:tr>
        <w:trPr/>
        <w:tc>
          <w:tcPr>
            <w:tcW w:w="63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r>
          </w:p>
        </w:tc>
        <w:tc>
          <w:tcPr>
            <w:tcW w:w="247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29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17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r>
      <w:tr>
        <w:trPr/>
        <w:tc>
          <w:tcPr>
            <w:tcW w:w="63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r>
          </w:p>
        </w:tc>
        <w:tc>
          <w:tcPr>
            <w:tcW w:w="247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29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17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r>
      <w:tr>
        <w:trPr/>
        <w:tc>
          <w:tcPr>
            <w:tcW w:w="63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r>
          </w:p>
        </w:tc>
        <w:tc>
          <w:tcPr>
            <w:tcW w:w="247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293"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c>
          <w:tcPr>
            <w:tcW w:w="3172" w:type="dxa"/>
            <w:tcBorders>
              <w:top w:val="single" w:sz="4" w:space="0" w:color="000000"/>
              <w:left w:val="single" w:sz="4" w:space="0" w:color="000000"/>
              <w:bottom w:val="single" w:sz="4" w:space="0" w:color="000000"/>
              <w:right w:val="single" w:sz="4" w:space="0" w:color="000000"/>
            </w:tcBorders>
          </w:tcPr>
          <w:p>
            <w:pPr>
              <w:pStyle w:val="Pt-a"/>
              <w:widowControl w:val="false"/>
              <w:spacing w:beforeAutospacing="0" w:before="0" w:afterAutospacing="0" w:after="0"/>
              <w:jc w:val="center"/>
              <w:rPr>
                <w:color w:val="000000"/>
                <w:sz w:val="28"/>
                <w:szCs w:val="28"/>
              </w:rPr>
            </w:pPr>
            <w:r>
              <w:rPr>
                <w:color w:val="000000"/>
                <w:sz w:val="28"/>
                <w:szCs w:val="28"/>
              </w:rPr>
              <w:t>0</w:t>
            </w:r>
          </w:p>
        </w:tc>
      </w:tr>
    </w:tbl>
    <w:p>
      <w:pPr>
        <w:pStyle w:val="Normal"/>
        <w:widowControl/>
        <w:bidi w:val="0"/>
        <w:spacing w:lineRule="auto" w:line="276" w:beforeAutospacing="0" w:before="0" w:afterAutospacing="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Autospacing="0" w:before="0" w:afterAutospacing="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uiPriority w:val="9"/>
    <w:qFormat/>
    <w:pPr>
      <w:spacing w:lineRule="auto" w:line="240" w:beforeAutospacing="1" w:afterAutospacing="1"/>
      <w:outlineLvl w:val="0"/>
    </w:pPr>
    <w:rPr>
      <w:rFonts w:ascii="Times New Roman" w:hAnsi="Times New Roman" w:eastAsia="Times New Roman"/>
      <w:b/>
      <w:bCs/>
      <w:sz w:val="48"/>
      <w:szCs w:val="48"/>
      <w:lang w:eastAsia="ru-RU"/>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Pt-a0" w:customStyle="1">
    <w:name w:val="pt-a0"/>
    <w:basedOn w:val="DefaultParagraphFont"/>
    <w:qFormat/>
    <w:rPr/>
  </w:style>
  <w:style w:type="character" w:styleId="11" w:customStyle="1">
    <w:name w:val="Заголовок 1 Знак"/>
    <w:basedOn w:val="DefaultParagraphFont"/>
    <w:uiPriority w:val="9"/>
    <w:qFormat/>
    <w:rPr>
      <w:rFonts w:ascii="Times New Roman" w:hAnsi="Times New Roman" w:eastAsia="Times New Roman" w:cs="Times New Roman"/>
      <w:b/>
      <w:bCs/>
      <w:sz w:val="48"/>
      <w:szCs w:val="48"/>
      <w:lang w:eastAsia="ru-RU"/>
    </w:rPr>
  </w:style>
  <w:style w:type="paragraph" w:styleId="Style9">
    <w:name w:val="Заголовок"/>
    <w:basedOn w:val="Normal"/>
    <w:next w:val="Style10"/>
    <w:qFormat/>
    <w:pPr>
      <w:keepNext w:val="true"/>
      <w:spacing w:before="240" w:after="120"/>
    </w:pPr>
    <w:rPr>
      <w:rFonts w:ascii="PT Astra Serif" w:hAnsi="PT Astra Serif" w:eastAsia="Microsoft YaHei" w:cs="Mang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Mangal"/>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Mangal"/>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suppressAutoHyphens w:val="true"/>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ConsPlusNormal" w:customStyle="1">
    <w:name w:val="ConsPlusNormal"/>
    <w:qFormat/>
    <w:pPr>
      <w:widowControl/>
      <w:suppressAutoHyphens w:val="true"/>
      <w:bidi w:val="0"/>
      <w:spacing w:lineRule="auto" w:line="240" w:beforeAutospacing="0" w:before="0" w:afterAutospacing="0" w:after="0"/>
      <w:ind w:firstLine="720"/>
      <w:jc w:val="left"/>
    </w:pPr>
    <w:rPr>
      <w:rFonts w:ascii="Arial" w:hAnsi="Arial" w:eastAsia="Times New Roman" w:cs="Arial" w:cstheme="minorBidi"/>
      <w:color w:val="auto"/>
      <w:kern w:val="0"/>
      <w:sz w:val="20"/>
      <w:szCs w:val="20"/>
      <w:lang w:val="ru-RU" w:eastAsia="ru-RU" w:bidi="ar-SA"/>
    </w:rPr>
  </w:style>
  <w:style w:type="paragraph" w:styleId="Pt-a" w:customStyle="1">
    <w:name w:val="pt-a"/>
    <w:basedOn w:val="Normal"/>
    <w:qFormat/>
    <w:pPr>
      <w:spacing w:lineRule="auto" w:line="240" w:beforeAutospacing="1" w:afterAutospacing="1"/>
    </w:pPr>
    <w:rPr>
      <w:rFonts w:ascii="Times New Roman" w:hAnsi="Times New Roman" w:eastAsia="Times New Roman"/>
      <w:sz w:val="24"/>
      <w:szCs w:val="24"/>
      <w:lang w:eastAsia="ru-RU"/>
    </w:rPr>
  </w:style>
  <w:style w:type="paragraph" w:styleId="13" w:customStyle="1">
    <w:name w:val="Без интервала1"/>
    <w:qFormat/>
    <w:pPr>
      <w:widowControl/>
      <w:suppressAutoHyphens w:val="true"/>
      <w:bidi w:val="0"/>
      <w:spacing w:lineRule="auto" w:line="240" w:beforeAutospacing="0" w:before="0" w:afterAutospacing="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ConsPlusTitle" w:customStyle="1">
    <w:name w:val="ConsPlusTitle"/>
    <w:qFormat/>
    <w:pPr>
      <w:widowControl w:val="false"/>
      <w:suppressAutoHyphens w:val="true"/>
      <w:bidi w:val="0"/>
      <w:spacing w:lineRule="auto" w:line="240" w:beforeAutospacing="0" w:before="0" w:afterAutospacing="0" w:after="0"/>
      <w:jc w:val="left"/>
    </w:pPr>
    <w:rPr>
      <w:rFonts w:ascii="Calibri" w:hAnsi="Calibri" w:eastAsia="Times New Roman" w:cs="Calibri" w:asciiTheme="minorHAnsi" w:hAnsiTheme="minorHAnsi"/>
      <w:b/>
      <w:color w:val="auto"/>
      <w:kern w:val="0"/>
      <w:sz w:val="22"/>
      <w:szCs w:val="20"/>
      <w:lang w:val="ru-RU" w:eastAsia="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LibreOffice/7.5.6.2$Linux_X86_64 LibreOffice_project/50$Build-2</Application>
  <AppVersion>15.0000</AppVersion>
  <Pages>1</Pages>
  <Words>76</Words>
  <Characters>604</Characters>
  <CharactersWithSpaces>664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2020-04-22T12:12:00Z</dcterms:created>
  <dc:creator>Наталья</dc:creator>
  <dc:description/>
  <dc:language>ru-RU</dc:language>
  <cp:lastModifiedBy/>
  <dcterms:modified xsi:type="dcterms:W3CDTF">2025-07-02T10:27:29Z</dcterms:modified>
  <cp:revision>192</cp:revision>
  <dc:subject/>
  <dc:title/>
</cp:coreProperties>
</file>

<file path=docProps/custom.xml><?xml version="1.0" encoding="utf-8"?>
<Properties xmlns="http://schemas.openxmlformats.org/officeDocument/2006/custom-properties" xmlns:vt="http://schemas.openxmlformats.org/officeDocument/2006/docPropsVTypes"/>
</file>