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независимой антикоррупционной экспертизы и (или) общественного обсуждения проекта приказа </w:t>
      </w:r>
      <w:r>
        <w:rPr>
          <w:rStyle w:val="Pt-a0"/>
          <w:bCs/>
          <w:color w:val="000000"/>
          <w:sz w:val="28"/>
          <w:szCs w:val="28"/>
        </w:rPr>
        <w:t>М</w:t>
      </w:r>
      <w:r>
        <w:rPr>
          <w:rStyle w:val="Pt-a0"/>
          <w:bCs/>
          <w:color w:val="000000"/>
          <w:sz w:val="28"/>
          <w:szCs w:val="28"/>
        </w:rPr>
        <w:t>инистерства юстиции Республики Татарстан «О внесении изменений в состав Комиссии Министерства юстиции Республики Татарстан по соблюдению требований  к служебному поведению государственных гражданских служащих и урегулированию конфликта интересов</w:t>
      </w:r>
      <w:r>
        <w:rPr>
          <w:bCs/>
          <w:color w:val="000000"/>
          <w:sz w:val="28"/>
          <w:szCs w:val="28"/>
        </w:rPr>
        <w:t>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"/>
        <w:gridCol w:w="2474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69</Words>
  <Characters>514</Characters>
  <CharactersWithSpaces>568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2025-05-07T10:40:03Z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