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Сводная информация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по итогам независимой антикоррупционной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экспертизы проекта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617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outlineLvl w:val="0"/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</w:r>
    </w:p>
    <w:p>
      <w:pPr>
        <w:pStyle w:val="617"/>
        <w:jc w:val="center"/>
        <w:spacing w:before="0" w:after="0" w:line="24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u w:val="none"/>
          <w:lang w:eastAsia="ru-RU"/>
        </w:rPr>
        <w:t xml:space="preserve">Проект постановления Кабинета Министров Республики Татарстан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  <w:lang w:eastAsia="ru-RU"/>
        </w:rPr>
      </w:r>
    </w:p>
    <w:p>
      <w:pPr>
        <w:pStyle w:val="617"/>
        <w:jc w:val="center"/>
        <w:spacing w:before="0" w:after="0" w:line="240" w:lineRule="auto"/>
        <w:widowControl w:val="off"/>
        <w:rPr>
          <w:rFonts w:ascii="Times New Roman" w:hAnsi="Times New Roman" w:eastAsia="Arial Unicode MS" w:cs="Arial Unicode MS"/>
          <w:color w:val="000000"/>
          <w:sz w:val="28"/>
          <w:szCs w:val="28"/>
          <w:highlight w:val="white"/>
          <w:u w:val="none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highlight w:val="white"/>
          <w:u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14:ligatures w14:val="none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омплекса мер (дорожной карты)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решению вопросов, п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оступивших на сходах граждан 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муниципальных образованиях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Республики Татарстан, в ходе избирательных кампаний депутатов Государственного Совета Республики Татарстан VI и VII созывов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через онлайн-сервис «Мой депутат»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 проект «Мобильная приемная»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а также в ходе избирательной кампании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по выборам Президента Республики Татарстан, на 2025 – 2030 годы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u w:val="none"/>
          <w:lang w:eastAsia="ru-RU"/>
        </w:rPr>
        <w:t xml:space="preserve">»</w:t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highlight w:val="white"/>
          <w:u w:val="none"/>
          <w:lang w:eastAsia="ru-RU"/>
        </w:rPr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highlight w:val="white"/>
          <w:u w:val="none"/>
          <w:lang w:eastAsia="ru-RU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r>
    </w:p>
    <w:tbl>
      <w:tblPr>
        <w:tblStyle w:val="1_634"/>
        <w:tblW w:w="5000" w:type="pct"/>
        <w:tblInd w:w="0" w:type="dxa"/>
        <w:tblLayout w:type="fixed"/>
        <w:tblCellMar>
          <w:left w:w="80" w:type="dxa"/>
          <w:top w:w="80" w:type="dxa"/>
          <w:right w:w="80" w:type="dxa"/>
          <w:bottom w:w="80" w:type="dxa"/>
        </w:tblCellMar>
        <w:tblLook w:val="04A0" w:firstRow="1" w:lastRow="0" w:firstColumn="1" w:lastColumn="0" w:noHBand="0" w:noVBand="1"/>
      </w:tblPr>
      <w:tblGrid>
        <w:gridCol w:w="610"/>
        <w:gridCol w:w="4587"/>
        <w:gridCol w:w="2339"/>
        <w:gridCol w:w="1818"/>
      </w:tblGrid>
      <w:tr>
        <w:tblPrEx/>
        <w:trPr>
          <w:trHeight w:val="300"/>
        </w:trPr>
        <w:tc>
          <w:tcPr>
            <w:gridSpan w:val="4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617"/>
              <w:numPr>
                <w:ilvl w:val="0"/>
                <w:numId w:val="0"/>
              </w:numPr>
              <w:ind w:left="0" w:right="0" w:firstLine="0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  <w:outlineLvl w:val="0"/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Независимая антикоррупционная экспертиза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9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N п/п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Выявленный коррупциогенный фактор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Комментарии разработчика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7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9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поступивших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частично 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  <w:tr>
        <w:tblPrEx/>
        <w:trPr>
          <w:trHeight w:val="300"/>
        </w:trPr>
        <w:tc>
          <w:tcPr>
            <w:gridSpan w:val="3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36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Общее количество неучтенных предложений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8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 w:val="off"/>
              <w:rPr>
                <w:rFonts w:ascii="Calibri" w:hAnsi="Calibri" w:cs="Arial Unicode MS"/>
                <w:color w:val="000000"/>
                <w:u w:val="none"/>
              </w:rPr>
            </w:pPr>
            <w:r>
              <w:rPr>
                <w:rFonts w:ascii="Times New Roman" w:hAnsi="Times New Roman" w:eastAsia="Arial Unicode MS" w:cs="Arial Unicode MS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0</w:t>
            </w:r>
            <w:r>
              <w:rPr>
                <w:rFonts w:ascii="Calibri" w:hAnsi="Calibri" w:cs="Arial Unicode MS"/>
                <w:color w:val="000000"/>
                <w:u w:val="none"/>
              </w:rPr>
            </w:r>
            <w:r>
              <w:rPr>
                <w:rFonts w:ascii="Calibri" w:hAnsi="Calibri" w:cs="Arial Unicode MS"/>
                <w:color w:val="000000"/>
                <w:u w:val="none"/>
              </w:rPr>
            </w:r>
          </w:p>
        </w:tc>
      </w:tr>
    </w:tbl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425" w:right="850" w:bottom="113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4" w:customStyle="1">
    <w:name w:val="Table 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2025-04-09T08:20:10Z</dcterms:modified>
</cp:coreProperties>
</file>