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14FDF" w:rsidRPr="00B14FDF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«Особая экономическая зона промышленно-производственного типа «</w:t>
      </w:r>
      <w:proofErr w:type="spellStart"/>
      <w:r w:rsidR="00B14FDF" w:rsidRPr="00B14FDF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B14FDF" w:rsidRPr="00B14FDF">
        <w:rPr>
          <w:rFonts w:ascii="Times New Roman" w:hAnsi="Times New Roman"/>
          <w:sz w:val="28"/>
          <w:szCs w:val="28"/>
          <w:shd w:val="clear" w:color="auto" w:fill="FFFFFF"/>
        </w:rPr>
        <w:t>» и Акционер</w:t>
      </w:r>
      <w:r w:rsidR="00B14FDF">
        <w:rPr>
          <w:rFonts w:ascii="Times New Roman" w:hAnsi="Times New Roman"/>
          <w:sz w:val="28"/>
          <w:szCs w:val="28"/>
          <w:shd w:val="clear" w:color="auto" w:fill="FFFFFF"/>
        </w:rPr>
        <w:t>ным обществом «Сетевая компания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4F7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0001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4FDF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E668-742A-4191-A0B9-81E05D61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2025-01-09T07:18:00Z</dcterms:created>
  <dcterms:modified xsi:type="dcterms:W3CDTF">2025-01-09T07:18:00Z</dcterms:modified>
</cp:coreProperties>
</file>