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71EF6" w:rsidRPr="00F71EF6">
        <w:rPr>
          <w:rFonts w:ascii="Times New Roman" w:hAnsi="Times New Roman"/>
          <w:sz w:val="28"/>
          <w:szCs w:val="28"/>
          <w:shd w:val="clear" w:color="auto" w:fill="FFFFFF"/>
        </w:rPr>
        <w:t>О расчете платы за подключение (технологическое присоединение) к централизованным системам водоснабжения и водоотведения организаций, реализующих инвестиционные программы с источником финансирования мероприятий «плата за подключение к централизованным системам водоснабжения и (или) в</w:t>
      </w:r>
      <w:r w:rsidR="00F71EF6">
        <w:rPr>
          <w:rFonts w:ascii="Times New Roman" w:hAnsi="Times New Roman"/>
          <w:sz w:val="28"/>
          <w:szCs w:val="28"/>
          <w:shd w:val="clear" w:color="auto" w:fill="FFFFFF"/>
        </w:rPr>
        <w:t>одоотведения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1C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6CD9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05F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42B3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BCA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0397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1EF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8D96C-B2DA-4FE6-BC9A-8FEF0810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2025-01-09T07:16:00Z</dcterms:created>
  <dcterms:modified xsi:type="dcterms:W3CDTF">2025-01-09T07:16:00Z</dcterms:modified>
</cp:coreProperties>
</file>