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160F2" w:rsidRPr="00F160F2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15.11.2023 № 376-25/кс-2023 и корректировке на 2025 год долгосрочных тарифов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</w:t>
      </w:r>
      <w:r w:rsidR="00F160F2">
        <w:rPr>
          <w:rFonts w:ascii="Times New Roman" w:hAnsi="Times New Roman"/>
          <w:sz w:val="28"/>
          <w:szCs w:val="28"/>
          <w:shd w:val="clear" w:color="auto" w:fill="FFFFFF"/>
        </w:rPr>
        <w:t xml:space="preserve"> от 15.11.2023 № 376-25/кс-2023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B2BF-213C-461A-8AD9-DB5776DC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2024-11-20T05:29:00Z</dcterms:created>
  <dcterms:modified xsi:type="dcterms:W3CDTF">2024-11-20T05:29:00Z</dcterms:modified>
</cp:coreProperties>
</file>