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jc w:val="center"/>
        <w:spacing w:before="0" w:beforeAutospacing="0" w:after="0" w:afterAutospacing="0"/>
        <w:shd w:val="clear" w:color="auto" w:fill="ffffff"/>
        <w:rPr>
          <w:rStyle w:val="624"/>
          <w:bCs/>
          <w:color w:val="000000"/>
          <w:sz w:val="28"/>
          <w:szCs w:val="28"/>
        </w:rPr>
      </w:pPr>
      <w:r>
        <w:rPr>
          <w:rStyle w:val="624"/>
          <w:bCs/>
          <w:color w:val="000000"/>
          <w:sz w:val="28"/>
          <w:szCs w:val="28"/>
        </w:rPr>
        <w:t xml:space="preserve">Сводная информация</w:t>
      </w:r>
      <w:r>
        <w:rPr>
          <w:rStyle w:val="624"/>
          <w:bCs/>
          <w:color w:val="000000"/>
          <w:sz w:val="28"/>
          <w:szCs w:val="28"/>
        </w:rPr>
        <w:t xml:space="preserve"> </w:t>
      </w:r>
      <w:r>
        <w:rPr>
          <w:rStyle w:val="624"/>
          <w:bCs/>
          <w:color w:val="000000"/>
          <w:sz w:val="28"/>
          <w:szCs w:val="28"/>
        </w:rPr>
      </w:r>
    </w:p>
    <w:p>
      <w:pPr>
        <w:pStyle w:val="623"/>
        <w:jc w:val="center"/>
        <w:spacing w:after="0"/>
        <w:shd w:val="clear" w:color="auto" w:fill="ffffff"/>
        <w:rPr>
          <w:bCs/>
          <w:color w:val="000000"/>
          <w:sz w:val="28"/>
          <w:szCs w:val="28"/>
        </w:rPr>
      </w:pPr>
      <w:r>
        <w:rPr>
          <w:rStyle w:val="624"/>
          <w:bCs/>
          <w:color w:val="000000"/>
          <w:sz w:val="28"/>
          <w:szCs w:val="28"/>
        </w:rPr>
        <w:t xml:space="preserve">по итогам</w:t>
      </w:r>
      <w:r>
        <w:rPr>
          <w:rStyle w:val="624"/>
          <w:bCs/>
          <w:color w:val="000000"/>
          <w:sz w:val="28"/>
          <w:szCs w:val="28"/>
        </w:rPr>
        <w:t xml:space="preserve"> </w:t>
      </w:r>
      <w:r>
        <w:rPr>
          <w:rStyle w:val="624"/>
          <w:bCs/>
          <w:color w:val="000000"/>
          <w:sz w:val="28"/>
          <w:szCs w:val="28"/>
        </w:rPr>
        <w:t xml:space="preserve">независимой антикоррупционной экспертизы</w:t>
      </w:r>
      <w:r>
        <w:rPr>
          <w:rStyle w:val="624"/>
          <w:bCs/>
          <w:color w:val="000000"/>
          <w:sz w:val="28"/>
          <w:szCs w:val="28"/>
        </w:rPr>
        <w:t xml:space="preserve"> </w:t>
      </w:r>
      <w:r>
        <w:rPr>
          <w:rStyle w:val="624"/>
          <w:bCs/>
          <w:color w:val="000000"/>
          <w:sz w:val="28"/>
          <w:szCs w:val="28"/>
        </w:rPr>
        <w:t xml:space="preserve">и (или)</w:t>
      </w:r>
      <w:r>
        <w:rPr>
          <w:rStyle w:val="624"/>
          <w:bCs/>
          <w:color w:val="000000"/>
          <w:sz w:val="28"/>
          <w:szCs w:val="28"/>
        </w:rPr>
        <w:t xml:space="preserve"> </w:t>
      </w:r>
      <w:r>
        <w:rPr>
          <w:rStyle w:val="624"/>
          <w:bCs/>
          <w:color w:val="000000"/>
          <w:sz w:val="28"/>
          <w:szCs w:val="28"/>
        </w:rPr>
        <w:t xml:space="preserve">общественного обсуждения </w:t>
      </w:r>
      <w:r>
        <w:rPr>
          <w:rStyle w:val="624"/>
          <w:bCs/>
          <w:color w:val="000000"/>
          <w:sz w:val="28"/>
          <w:szCs w:val="28"/>
        </w:rPr>
        <w:t xml:space="preserve">проект</w:t>
      </w:r>
      <w:r>
        <w:rPr>
          <w:rStyle w:val="624"/>
          <w:bCs/>
          <w:color w:val="000000"/>
          <w:sz w:val="28"/>
          <w:szCs w:val="28"/>
        </w:rPr>
        <w:t xml:space="preserve">а</w:t>
      </w:r>
      <w:r>
        <w:rPr>
          <w:rStyle w:val="624"/>
          <w:bCs/>
          <w:color w:val="000000"/>
          <w:sz w:val="28"/>
          <w:szCs w:val="28"/>
        </w:rPr>
        <w:t xml:space="preserve"> </w:t>
      </w:r>
      <w:r>
        <w:rPr>
          <w:rStyle w:val="624"/>
          <w:bCs/>
          <w:color w:val="000000"/>
          <w:sz w:val="28"/>
          <w:szCs w:val="28"/>
        </w:rPr>
        <w:t xml:space="preserve">приказа Министерства юстиции Республики</w:t>
      </w:r>
      <w:r>
        <w:rPr>
          <w:rStyle w:val="624"/>
          <w:bCs/>
          <w:color w:val="000000"/>
          <w:sz w:val="28"/>
          <w:szCs w:val="28"/>
        </w:rPr>
        <w:t xml:space="preserve"> Татарстан</w:t>
      </w:r>
      <w:r>
        <w:rPr>
          <w:rStyle w:val="624"/>
          <w:bCs/>
          <w:color w:val="000000"/>
          <w:sz w:val="28"/>
          <w:szCs w:val="28"/>
        </w:rPr>
        <w:t xml:space="preserve"> </w:t>
      </w:r>
      <w:r>
        <w:rPr>
          <w:rStyle w:val="624"/>
          <w:bCs/>
          <w:color w:val="000000"/>
          <w:sz w:val="28"/>
          <w:szCs w:val="28"/>
        </w:rPr>
        <w:t xml:space="preserve">«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  <w:t xml:space="preserve">О внесении изменений в Порядок принятия решения о признании безнадежной  к взысканию задолженности по платежам в бюджет Республики Татарстан, администрируемым Министерством юстиции Республики Татарстан</w:t>
      </w:r>
      <w:r>
        <w:rPr>
          <w:bCs/>
          <w:color w:val="000000"/>
          <w:sz w:val="28"/>
          <w:szCs w:val="28"/>
        </w:rPr>
      </w:r>
      <w:bookmarkStart w:id="0" w:name="_GoBack"/>
      <w:r/>
      <w:bookmarkEnd w:id="0"/>
      <w:r>
        <w:rPr>
          <w:bCs/>
          <w:color w:val="000000"/>
          <w:sz w:val="28"/>
          <w:szCs w:val="28"/>
        </w:rPr>
        <w:t xml:space="preserve">»</w:t>
      </w:r>
      <w:r>
        <w:rPr>
          <w:bCs/>
          <w:color w:val="000000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>
        <w:tblPrEx/>
        <w:trPr/>
        <w:tc>
          <w:tcPr>
            <w:gridSpan w:val="4"/>
            <w:tcW w:w="9571" w:type="dxa"/>
            <w:textDirection w:val="lrTb"/>
            <w:noWrap w:val="false"/>
          </w:tcPr>
          <w:p>
            <w:pPr>
              <w:pStyle w:val="623"/>
              <w:ind w:left="720"/>
              <w:jc w:val="center"/>
              <w:spacing w:before="120" w:beforeAutospacing="0" w:after="120" w:afterAutospacing="0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4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Эксперт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(Ф.И.О.</w:t>
            </w:r>
            <w:r>
              <w:rPr>
                <w:rFonts w:ascii="Times New Roman" w:hAnsi="Times New Roman" w:eastAsia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/ реквизиты распоряжения Минюста России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об аккредитации)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32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коррупциогенный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Комментарии разработчика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Calibri" w:hAnsi="Calibri" w:eastAsia="Calibri" w:cs="Times New Roman"/>
    </w:rPr>
  </w:style>
  <w:style w:type="paragraph" w:styleId="618">
    <w:name w:val="Heading 1"/>
    <w:basedOn w:val="617"/>
    <w:link w:val="625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paragraph" w:styleId="622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623" w:customStyle="1">
    <w:name w:val="pt-a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24" w:customStyle="1">
    <w:name w:val="pt-a0"/>
    <w:basedOn w:val="619"/>
  </w:style>
  <w:style w:type="character" w:styleId="625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26" w:customStyle="1">
    <w:name w:val="Без интервала1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62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revision>133</cp:revision>
  <dcterms:created xsi:type="dcterms:W3CDTF">2020-04-22T12:12:00Z</dcterms:created>
  <dcterms:modified xsi:type="dcterms:W3CDTF">2024-09-17T12:17:07Z</dcterms:modified>
</cp:coreProperties>
</file>