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9/30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 xml:space="preserve">Об утверждении Порядка предоставления субсидии </w:t>
      </w: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 xml:space="preserve">из бюджета Республики Татарстан на возмещение части затрат юридических лиц по приобретению </w:t>
      </w:r>
      <w:proofErr w:type="gramStart"/>
      <w:r>
        <w:rPr>
          <w:rFonts w:ascii="XO Thames" w:hAnsi="XO Thames"/>
          <w:color w:val="000000"/>
          <w:sz w:val="28"/>
          <w:szCs w:val="20"/>
        </w:rPr>
        <w:t>ячменя  в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целях производства пищевых продуктов</w:t>
      </w:r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2024-09-26T10:45:00Z</dcterms:created>
  <dcterms:modified xsi:type="dcterms:W3CDTF">2024-09-26T10:45:00Z</dcterms:modified>
</cp:coreProperties>
</file>