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shd w:val="clear" w:color="FFFFFF" w:fill="FFFFFF"/>
        <w:spacing w:lineRule="atLeast" w:line="57" w:before="0" w:after="0"/>
        <w:ind w:left="0" w:right="0" w:hanging="0"/>
        <w:jc w:val="center"/>
        <w:rPr/>
      </w:pPr>
      <w:r>
        <w:rPr>
          <w:rFonts w:eastAsia="Times New Roman" w:cs="Times New Roman" w:ascii="Times New Roman" w:hAnsi="Times New Roman"/>
          <w:color w:val="000000"/>
          <w:sz w:val="28"/>
        </w:rPr>
        <w:t>Сводная информация</w:t>
      </w:r>
    </w:p>
    <w:p>
      <w:pPr>
        <w:pStyle w:val="Normal"/>
        <w:pBdr/>
        <w:shd w:val="clear" w:color="FFFFFF" w:fill="FFFFFF"/>
        <w:spacing w:lineRule="atLeast" w:line="57" w:before="0" w:after="0"/>
        <w:ind w:left="0" w:right="0" w:hanging="0"/>
        <w:jc w:val="center"/>
        <w:rPr/>
      </w:pPr>
      <w:r>
        <w:rPr>
          <w:rFonts w:eastAsia="Times New Roman" w:cs="Times New Roman" w:ascii="Times New Roman" w:hAnsi="Times New Roman"/>
          <w:color w:val="000000"/>
          <w:sz w:val="28"/>
        </w:rPr>
        <w:t>по итогам независимой антикоррупционной экспертизы</w:t>
      </w:r>
    </w:p>
    <w:p>
      <w:pPr>
        <w:pStyle w:val="Normal"/>
        <w:pBdr/>
        <w:spacing w:lineRule="atLeast" w:line="57" w:before="0" w:after="198"/>
        <w:ind w:left="0" w:right="0" w:hanging="0"/>
        <w:jc w:val="center"/>
        <w:rPr/>
      </w:pPr>
      <w:r>
        <w:rPr>
          <w:rFonts w:eastAsia="Times New Roman" w:cs="Times New Roman" w:ascii="Times New Roman" w:hAnsi="Times New Roman"/>
          <w:color w:val="000000"/>
          <w:sz w:val="28"/>
        </w:rPr>
        <w:t>и (или) общественного обсуждения проекта постановления Кабинета Министров Республики Татарстан «О внесении изменений в Порядок пользования участками недр местного значения, расположенными на территории Республики Татарстан, утвержденный постановлением Кабинета Министров Республики Татарстан от 06.06.2022 № 522 «Об утверждении Порядка пользования участками недр местного значения, расположенными на территории Республики Татарстан»</w:t>
      </w:r>
    </w:p>
    <w:tbl>
      <w:tblPr>
        <w:tblStyle w:val="48"/>
        <w:tblW w:w="935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76"/>
        <w:gridCol w:w="2251"/>
        <w:gridCol w:w="2729"/>
        <w:gridCol w:w="2202"/>
        <w:gridCol w:w="1895"/>
      </w:tblGrid>
      <w:tr>
        <w:trPr/>
        <w:tc>
          <w:tcPr>
            <w:tcW w:w="9353" w:type="dxa"/>
            <w:gridSpan w:val="5"/>
            <w:tcBorders>
              <w:top w:val="single" w:sz="6" w:space="0" w:color="000000"/>
              <w:left w:val="single" w:sz="6" w:space="0" w:color="000000"/>
              <w:bottom w:val="single" w:sz="6" w:space="0" w:color="000000"/>
              <w:right w:val="single" w:sz="6" w:space="0" w:color="000000"/>
            </w:tcBorders>
          </w:tcPr>
          <w:p>
            <w:pPr>
              <w:pStyle w:val="Normal"/>
              <w:widowControl/>
              <w:pBdr/>
              <w:shd w:val="clear" w:color="FFFFFF" w:fill="FFFFFF"/>
              <w:spacing w:lineRule="atLeast" w:line="276" w:before="119" w:after="0"/>
              <w:ind w:left="72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28"/>
                <w:szCs w:val="22"/>
                <w:lang w:val="ru-RU" w:eastAsia="en-US" w:bidi="ar-SA"/>
              </w:rPr>
              <w:t>Независимая антикоррупционная экспертиза</w:t>
            </w:r>
          </w:p>
        </w:tc>
      </w:tr>
      <w:tr>
        <w:trPr/>
        <w:tc>
          <w:tcPr>
            <w:tcW w:w="276" w:type="dxa"/>
            <w:tcBorders>
              <w:top w:val="single" w:sz="6" w:space="0" w:color="000000"/>
              <w:left w:val="single" w:sz="6" w:space="0" w:color="000000"/>
              <w:bottom w:val="single" w:sz="6" w:space="0" w:color="000000"/>
              <w:right w:val="single" w:sz="6" w:space="0" w:color="000000"/>
            </w:tcBorders>
            <w:vAlign w:val="center"/>
          </w:tcPr>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Calibri" w:cs="Calibri" w:ascii="Calibri" w:hAnsi="Calibri"/>
                <w:color w:val="000000"/>
                <w:kern w:val="0"/>
                <w:sz w:val="22"/>
                <w:szCs w:val="22"/>
                <w:lang w:val="ru-RU" w:eastAsia="en-US" w:bidi="ar-SA"/>
              </w:rPr>
              <w:t>№</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24"/>
                <w:szCs w:val="22"/>
                <w:lang w:val="ru-RU" w:eastAsia="en-US" w:bidi="ar-SA"/>
              </w:rPr>
              <w:t>Эксперт</w:t>
            </w:r>
          </w:p>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18"/>
                <w:szCs w:val="22"/>
                <w:lang w:val="ru-RU" w:eastAsia="en-US" w:bidi="ar-SA"/>
              </w:rPr>
              <w:t>(Ф.И.О.</w:t>
            </w:r>
            <w:r>
              <w:rPr>
                <w:rFonts w:eastAsia="Times New Roman" w:cs="Times New Roman" w:ascii="Times New Roman" w:hAnsi="Times New Roman"/>
                <w:b/>
                <w:color w:val="000000"/>
                <w:kern w:val="0"/>
                <w:sz w:val="14"/>
                <w:szCs w:val="22"/>
                <w:lang w:val="ru-RU" w:eastAsia="en-US" w:bidi="ar-SA"/>
              </w:rPr>
              <w:t xml:space="preserve">(последнее – при наличии) </w:t>
            </w:r>
            <w:r>
              <w:rPr>
                <w:rFonts w:eastAsia="Times New Roman" w:cs="Times New Roman" w:ascii="Times New Roman" w:hAnsi="Times New Roman"/>
                <w:b/>
                <w:color w:val="000000"/>
                <w:kern w:val="0"/>
                <w:sz w:val="18"/>
                <w:szCs w:val="22"/>
                <w:lang w:val="ru-RU" w:eastAsia="en-US" w:bidi="ar-SA"/>
              </w:rPr>
              <w:t>/ реквизиты распоряжения Минюста России</w:t>
            </w:r>
          </w:p>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18"/>
                <w:szCs w:val="22"/>
                <w:lang w:val="ru-RU" w:eastAsia="en-US" w:bidi="ar-SA"/>
              </w:rPr>
              <w:t>об аккредитации)</w:t>
            </w:r>
          </w:p>
        </w:tc>
        <w:tc>
          <w:tcPr>
            <w:tcW w:w="2729" w:type="dxa"/>
            <w:tcBorders>
              <w:top w:val="single" w:sz="6" w:space="0" w:color="000000"/>
              <w:left w:val="single" w:sz="6" w:space="0" w:color="000000"/>
              <w:bottom w:val="single" w:sz="6" w:space="0" w:color="000000"/>
              <w:right w:val="single" w:sz="6" w:space="0" w:color="000000"/>
            </w:tcBorders>
            <w:vAlign w:val="center"/>
          </w:tcPr>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24"/>
                <w:szCs w:val="22"/>
                <w:lang w:val="ru-RU" w:eastAsia="en-US" w:bidi="ar-SA"/>
              </w:rPr>
              <w:t>Выявленный коррупциогенный фактор</w:t>
            </w:r>
          </w:p>
        </w:tc>
        <w:tc>
          <w:tcPr>
            <w:tcW w:w="40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24"/>
                <w:szCs w:val="22"/>
                <w:lang w:val="ru-RU" w:eastAsia="en-US" w:bidi="ar-SA"/>
              </w:rPr>
              <w:t>Комментарии разработчика</w:t>
            </w:r>
          </w:p>
        </w:tc>
      </w:tr>
      <w:tr>
        <w:trPr/>
        <w:tc>
          <w:tcPr>
            <w:tcW w:w="276" w:type="dxa"/>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tc>
        <w:tc>
          <w:tcPr>
            <w:tcW w:w="2251" w:type="dxa"/>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278"/>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0</w:t>
            </w:r>
          </w:p>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tc>
        <w:tc>
          <w:tcPr>
            <w:tcW w:w="2729" w:type="dxa"/>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278"/>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0</w:t>
            </w:r>
          </w:p>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tc>
        <w:tc>
          <w:tcPr>
            <w:tcW w:w="4097" w:type="dxa"/>
            <w:gridSpan w:val="2"/>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0</w:t>
            </w:r>
          </w:p>
        </w:tc>
      </w:tr>
      <w:tr>
        <w:trPr/>
        <w:tc>
          <w:tcPr>
            <w:tcW w:w="276" w:type="dxa"/>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tc>
        <w:tc>
          <w:tcPr>
            <w:tcW w:w="2251" w:type="dxa"/>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0</w:t>
            </w:r>
          </w:p>
        </w:tc>
        <w:tc>
          <w:tcPr>
            <w:tcW w:w="2729" w:type="dxa"/>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0</w:t>
            </w:r>
          </w:p>
        </w:tc>
        <w:tc>
          <w:tcPr>
            <w:tcW w:w="4097" w:type="dxa"/>
            <w:gridSpan w:val="2"/>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0</w:t>
            </w:r>
          </w:p>
        </w:tc>
      </w:tr>
      <w:tr>
        <w:trPr/>
        <w:tc>
          <w:tcPr>
            <w:tcW w:w="276" w:type="dxa"/>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tc>
        <w:tc>
          <w:tcPr>
            <w:tcW w:w="2251" w:type="dxa"/>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0</w:t>
            </w:r>
          </w:p>
        </w:tc>
        <w:tc>
          <w:tcPr>
            <w:tcW w:w="2729" w:type="dxa"/>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0</w:t>
            </w:r>
          </w:p>
        </w:tc>
        <w:tc>
          <w:tcPr>
            <w:tcW w:w="4097" w:type="dxa"/>
            <w:gridSpan w:val="2"/>
            <w:tcBorders>
              <w:top w:val="single" w:sz="6" w:space="0" w:color="000000"/>
              <w:left w:val="single" w:sz="6" w:space="0" w:color="000000"/>
              <w:bottom w:val="single" w:sz="6" w:space="0" w:color="000000"/>
              <w:right w:val="single" w:sz="6" w:space="0" w:color="000000"/>
            </w:tcBorders>
          </w:tcPr>
          <w:p>
            <w:pPr>
              <w:pStyle w:val="Normal"/>
              <w:widowControl/>
              <w:pBdr/>
              <w:spacing w:lineRule="atLeast" w:line="276"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0</w:t>
            </w:r>
          </w:p>
        </w:tc>
      </w:tr>
      <w:tr>
        <w:trPr/>
        <w:tc>
          <w:tcPr>
            <w:tcW w:w="9353" w:type="dxa"/>
            <w:gridSpan w:val="5"/>
            <w:tcBorders>
              <w:top w:val="single" w:sz="6" w:space="0" w:color="000000"/>
              <w:left w:val="single" w:sz="6" w:space="0" w:color="000000"/>
              <w:bottom w:val="single" w:sz="6" w:space="0" w:color="000000"/>
              <w:right w:val="single" w:sz="6" w:space="0" w:color="000000"/>
            </w:tcBorders>
          </w:tcPr>
          <w:p>
            <w:pPr>
              <w:pStyle w:val="Normal"/>
              <w:widowControl/>
              <w:pBdr/>
              <w:shd w:val="clear" w:color="FFFFFF" w:fill="FFFFFF"/>
              <w:spacing w:lineRule="atLeast" w:line="276" w:before="119"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28"/>
                <w:szCs w:val="22"/>
                <w:lang w:val="ru-RU" w:eastAsia="en-US" w:bidi="ar-SA"/>
              </w:rPr>
              <w:t>Общественное обсуждение</w:t>
            </w:r>
          </w:p>
        </w:tc>
      </w:tr>
      <w:tr>
        <w:trPr/>
        <w:tc>
          <w:tcPr>
            <w:tcW w:w="276" w:type="dxa"/>
            <w:tcBorders>
              <w:top w:val="single" w:sz="6" w:space="0" w:color="000000"/>
              <w:left w:val="single" w:sz="6" w:space="0" w:color="000000"/>
              <w:bottom w:val="single" w:sz="6" w:space="0" w:color="000000"/>
              <w:right w:val="single" w:sz="6" w:space="0" w:color="000000"/>
            </w:tcBorders>
            <w:vAlign w:val="center"/>
          </w:tcPr>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Calibri" w:cs="Calibri" w:ascii="Calibri" w:hAnsi="Calibri"/>
                <w:color w:val="000000"/>
                <w:kern w:val="0"/>
                <w:sz w:val="22"/>
                <w:szCs w:val="22"/>
                <w:lang w:val="ru-RU" w:eastAsia="en-US" w:bidi="ar-SA"/>
              </w:rPr>
              <w:t>№</w:t>
            </w:r>
          </w:p>
        </w:tc>
        <w:tc>
          <w:tcPr>
            <w:tcW w:w="2251" w:type="dxa"/>
            <w:tcBorders>
              <w:top w:val="single" w:sz="6" w:space="0" w:color="000000"/>
              <w:left w:val="single" w:sz="6" w:space="0" w:color="000000"/>
              <w:bottom w:val="single" w:sz="6" w:space="0" w:color="000000"/>
              <w:right w:val="single" w:sz="6" w:space="0" w:color="000000"/>
            </w:tcBorders>
            <w:vAlign w:val="center"/>
          </w:tcPr>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24"/>
                <w:szCs w:val="22"/>
                <w:lang w:val="ru-RU" w:eastAsia="en-US" w:bidi="ar-SA"/>
              </w:rPr>
              <w:t>Участник обсуждения</w:t>
            </w:r>
          </w:p>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18"/>
                <w:szCs w:val="22"/>
                <w:lang w:val="ru-RU" w:eastAsia="en-US" w:bidi="ar-SA"/>
              </w:rPr>
              <w:t>(Ф.И.О.</w:t>
            </w:r>
            <w:r>
              <w:rPr>
                <w:rFonts w:eastAsia="Times New Roman" w:cs="Times New Roman" w:ascii="Times New Roman" w:hAnsi="Times New Roman"/>
                <w:b/>
                <w:color w:val="000000"/>
                <w:kern w:val="0"/>
                <w:sz w:val="14"/>
                <w:szCs w:val="22"/>
                <w:lang w:val="ru-RU" w:eastAsia="en-US" w:bidi="ar-SA"/>
              </w:rPr>
              <w:t xml:space="preserve">(последнее – при наличии) </w:t>
            </w:r>
            <w:r>
              <w:rPr>
                <w:rFonts w:eastAsia="Times New Roman" w:cs="Times New Roman" w:ascii="Times New Roman" w:hAnsi="Times New Roman"/>
                <w:b/>
                <w:color w:val="000000"/>
                <w:kern w:val="0"/>
                <w:sz w:val="18"/>
                <w:szCs w:val="22"/>
                <w:lang w:val="ru-RU" w:eastAsia="en-US" w:bidi="ar-SA"/>
              </w:rPr>
              <w:t>/ адрес электронной почты)</w:t>
            </w:r>
          </w:p>
        </w:tc>
        <w:tc>
          <w:tcPr>
            <w:tcW w:w="2729" w:type="dxa"/>
            <w:tcBorders>
              <w:top w:val="single" w:sz="6" w:space="0" w:color="000000"/>
              <w:left w:val="single" w:sz="6" w:space="0" w:color="000000"/>
              <w:bottom w:val="single" w:sz="6" w:space="0" w:color="000000"/>
              <w:right w:val="single" w:sz="6" w:space="0" w:color="000000"/>
            </w:tcBorders>
            <w:vAlign w:val="center"/>
          </w:tcPr>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24"/>
                <w:szCs w:val="22"/>
                <w:lang w:val="ru-RU" w:eastAsia="en-US" w:bidi="ar-SA"/>
              </w:rPr>
              <w:t>Позиция участника обсуждения</w:t>
            </w:r>
          </w:p>
        </w:tc>
        <w:tc>
          <w:tcPr>
            <w:tcW w:w="409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pBdr/>
              <w:spacing w:lineRule="atLeast" w:line="253"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b/>
                <w:color w:val="000000"/>
                <w:kern w:val="0"/>
                <w:sz w:val="24"/>
                <w:szCs w:val="22"/>
                <w:lang w:val="ru-RU" w:eastAsia="en-US" w:bidi="ar-SA"/>
              </w:rPr>
              <w:t>Комментарии разработчика</w:t>
            </w:r>
          </w:p>
        </w:tc>
      </w:tr>
      <w:tr>
        <w:trPr/>
        <w:tc>
          <w:tcPr>
            <w:tcW w:w="276" w:type="dxa"/>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tc>
        <w:tc>
          <w:tcPr>
            <w:tcW w:w="2251" w:type="dxa"/>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Васильев А.П.</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Гаврилов А.И.</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 xml:space="preserve">Гильмуллин Л.Р. </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 xml:space="preserve">Гумеров С.Я. </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Исмагилов Д.Ф.</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Мухутдинов Э.Р</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Набиев Э.А.</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Сибгатуллин И.Н.</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Суханов Н.Ф.</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Хайруллин Ф.Г.</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Хуснутдинов Л.Т.</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Шакиров И.Ф</w:t>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Arial" w:cs="Arial"/>
                <w:kern w:val="0"/>
                <w:sz w:val="22"/>
                <w:szCs w:val="22"/>
                <w:lang w:val="ru-RU" w:eastAsia="en-US" w:bidi="ar-SA"/>
              </w:rPr>
            </w:r>
          </w:p>
        </w:tc>
        <w:tc>
          <w:tcPr>
            <w:tcW w:w="2729" w:type="dxa"/>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1. Замечание к сводному отчету о проведении оценки регулирующего воздействия Проекта.</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2. Сводный отчет о проведении оценки регулирующего воздействия проекта постановления Кабинета Министров Республики Татарстан "О внесении изменений в Порядок пользования участками недр местного значения, расположенными на территории Республики Татарстан, утвержденный постановлением Кабинета Министров Республики Татарстан от 06.06.2022 № 522 "Об утверждении Порядка пользования участками недр местного значения, расположенными на территории Республики Татарстан" содержит информацию, достоверность которой вызывает сомнения — исходя из нее 99% территории РТ покрыты сетями 4G.</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 xml:space="preserve">3. Замечание об обсуждении Проекта на заседании Общественного совета при Министерстве. </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4. Замечание о том, что вводимые Проектом обязанности недропользователя по обеспечению видеонаблюдения как административного барьера, о создании условий, которые могут привести к росту финансововой и административной нагрузки на предприятия, а также повлечь дополнительные кадровые затраты</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5. Вопрос о детальном регулировании порядка введения в эксплуатацию цифровой платформы с определением сроков тестирования и регистрации в ней.</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tc>
        <w:tc>
          <w:tcPr>
            <w:tcW w:w="4097" w:type="dxa"/>
            <w:gridSpan w:val="2"/>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1. Согласно постановлению Кабинета Министров Республики Татарстан от 31.12.2012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 подача предложений на проект нормативного правового акта в Регулирующий орган возможна в течении срока проведения публичных консультаций.</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В целях получения предложений и замечаний от заинтересованных лиц Проект размещался для проведения публичных консультаций дважды - в период  с 01.11.2023 по 25.11.2023, а также в период с 22.03.2024 по 08.04.2024.</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В рамках проведения публичных консультаций Проект был направлен в Ассоциацию предприятий и промышленников РТ, Торгово-промышленную палату РТ, Ассоциацию предприятий малого и среднего бизнеса РТ, Татарстанское региональное отделение Общероссийской общественной организации «Деловая Россия», Татарстанское республиканское отделение Общероссийской общественной организации малого и среднего предпринимательства «Опора России», Уполномоченному при Главе (Раисе) РТ по защите прав предпринимателей – помощнику Раиса РТ, а также недропользователю ООО «Каркалинский щебень». По итогам публичных консультаций предложения и замечания к проекту не поступили.</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2. Процедура оценки регулирующего воздействия Проекта на сегодняшний день завершена, получено заключение Министерства экономики Республики Татарстан об оценке регулирующего воздействия Проекта. Правовых оснований для направления Проекта на повторную процедуру оценки регулирующего воздействия не усматривается. Также информируем, что на Проект получено заключение Волжской межрегиональной природоохранной прокуратуры, согласно которому в нем не установлено положений, содержащих неопределенные, трудновыполнимые и (или) обременительные требования к гражданам и организациям.</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3. В части вопроса об обсуждении Проекта на заседании Общественного совета при Министерстве отмечаем, что исходя из положений постановления Кабинета Министров Республики Татарстан от 29.03.2013 № 214 «Об утверждении состава нормативных правовых актов и иных документов, разрабатываемых республиканскими органами исполнительной власти, которые не могут быть приняты без предварительного обсуждения на заседаниях общественных советов при этих республиканских органах исполнительной власти», к числу нормативных правовых актов, подлежащих обязательному предварительному обсуждению на заседании Общественного совета, Проект не относится. Кроме этого, работа Общественного совета при Министерстве организуется в соответствии с Планом совместной работы Общественного совета при Министерстве экологии и природных ресурсов Республики Татарстан и Министерства экологии и природных ресурсов Республики Татарстан на 2024 год, которым обсуждение Проекта не предусмотрено.</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4. Согласно заключению Министерства экономики Республики Татарстан от 03.05.2024 № 01-53/2802 в проекте отсутствуют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w:t>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Arial" w:cs="Arial"/>
                <w:kern w:val="0"/>
                <w:sz w:val="22"/>
                <w:szCs w:val="22"/>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sz w:val="24"/>
                <w:szCs w:val="24"/>
              </w:rPr>
            </w:pPr>
            <w:r>
              <w:rPr>
                <w:rFonts w:eastAsia="Arial" w:cs="Arial"/>
                <w:kern w:val="0"/>
                <w:sz w:val="24"/>
                <w:szCs w:val="24"/>
                <w:lang w:val="ru-RU" w:eastAsia="en-US" w:bidi="ar-SA"/>
              </w:rPr>
            </w:r>
          </w:p>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4"/>
                <w:szCs w:val="22"/>
                <w:lang w:val="ru-RU" w:eastAsia="en-US" w:bidi="ar-SA"/>
              </w:rPr>
              <w:t>5. В настоящий момент Цифровая платформа отрасли экологии и природопользования находится в тестовой эксплуатации. Министерство готово предоставить Вам доступ в роли «Недропользователь» для тестирования функционала платформы и направления замечаний.</w:t>
            </w:r>
          </w:p>
        </w:tc>
      </w:tr>
      <w:tr>
        <w:trPr/>
        <w:tc>
          <w:tcPr>
            <w:tcW w:w="7458" w:type="dxa"/>
            <w:gridSpan w:val="4"/>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left"/>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Общее количество поступивших предложений</w:t>
            </w:r>
          </w:p>
        </w:tc>
        <w:tc>
          <w:tcPr>
            <w:tcW w:w="1895" w:type="dxa"/>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5</w:t>
            </w:r>
          </w:p>
        </w:tc>
      </w:tr>
      <w:tr>
        <w:trPr/>
        <w:tc>
          <w:tcPr>
            <w:tcW w:w="7458" w:type="dxa"/>
            <w:gridSpan w:val="4"/>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Общее количество учтенных предложений</w:t>
            </w:r>
          </w:p>
        </w:tc>
        <w:tc>
          <w:tcPr>
            <w:tcW w:w="1895" w:type="dxa"/>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1</w:t>
            </w:r>
          </w:p>
        </w:tc>
      </w:tr>
      <w:tr>
        <w:trPr/>
        <w:tc>
          <w:tcPr>
            <w:tcW w:w="7458" w:type="dxa"/>
            <w:gridSpan w:val="4"/>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Общее количество частично учтенных предложений</w:t>
            </w:r>
          </w:p>
        </w:tc>
        <w:tc>
          <w:tcPr>
            <w:tcW w:w="1895" w:type="dxa"/>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0</w:t>
            </w:r>
          </w:p>
        </w:tc>
      </w:tr>
      <w:tr>
        <w:trPr/>
        <w:tc>
          <w:tcPr>
            <w:tcW w:w="7458" w:type="dxa"/>
            <w:gridSpan w:val="4"/>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both"/>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Общее количество неучтенных предложений</w:t>
            </w:r>
          </w:p>
        </w:tc>
        <w:tc>
          <w:tcPr>
            <w:tcW w:w="1895" w:type="dxa"/>
            <w:tcBorders>
              <w:top w:val="single" w:sz="6" w:space="0" w:color="000000"/>
              <w:left w:val="single" w:sz="6" w:space="0" w:color="000000"/>
              <w:bottom w:val="single" w:sz="6" w:space="0" w:color="000000"/>
              <w:right w:val="single" w:sz="6" w:space="0" w:color="000000"/>
            </w:tcBorders>
          </w:tcPr>
          <w:p>
            <w:pPr>
              <w:pStyle w:val="Normal"/>
              <w:widowControl/>
              <w:pBdr/>
              <w:spacing w:lineRule="exact" w:line="283" w:beforeAutospacing="0" w:before="0" w:after="0"/>
              <w:ind w:left="0" w:right="0" w:hanging="0"/>
              <w:jc w:val="center"/>
              <w:rPr>
                <w:rFonts w:ascii="Arial" w:hAnsi="Arial" w:eastAsia="Arial" w:cs="Arial"/>
                <w:kern w:val="0"/>
                <w:sz w:val="22"/>
                <w:szCs w:val="22"/>
                <w:lang w:val="ru-RU" w:eastAsia="en-US" w:bidi="ar-SA"/>
              </w:rPr>
            </w:pPr>
            <w:r>
              <w:rPr>
                <w:rFonts w:eastAsia="Times New Roman" w:cs="Times New Roman" w:ascii="Times New Roman" w:hAnsi="Times New Roman"/>
                <w:color w:val="000000"/>
                <w:kern w:val="0"/>
                <w:sz w:val="28"/>
                <w:szCs w:val="22"/>
                <w:lang w:val="ru-RU" w:eastAsia="en-US" w:bidi="ar-SA"/>
              </w:rPr>
              <w:t>4</w:t>
            </w:r>
          </w:p>
        </w:tc>
      </w:tr>
    </w:tbl>
    <w:p>
      <w:pPr>
        <w:pStyle w:val="Normal"/>
        <w:pBdr/>
        <w:spacing w:lineRule="atLeast" w:line="65" w:before="0" w:after="198"/>
        <w:ind w:left="0" w:right="0" w:hanging="0"/>
        <w:rPr/>
      </w:pPr>
      <w:r>
        <w:rPr/>
        <w:br/>
        <w:br/>
      </w:r>
    </w:p>
    <w:p>
      <w:pPr>
        <w:pStyle w:val="Normal"/>
        <w:spacing w:before="0" w:after="200"/>
        <w:ind w:left="-142" w:right="0" w:firstLine="142"/>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PT Astra Serif">
    <w:charset w:val="01"/>
    <w:family w:val="roman"/>
    <w:pitch w:val="default"/>
  </w:font>
  <w:font w:name="Times New Roman">
    <w:charset w:val="01"/>
    <w:family w:val="roman"/>
    <w:pitch w:val="default"/>
  </w:font>
  <w:font w:name="Calibri">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paragraph" w:styleId="Style9">
    <w:name w:val="Заголовок"/>
    <w:basedOn w:val="Normal"/>
    <w:next w:val="Style10"/>
    <w:qFormat/>
    <w:pPr>
      <w:keepNext w:val="true"/>
      <w:spacing w:before="240" w:after="120"/>
    </w:pPr>
    <w:rPr>
      <w:rFonts w:ascii="PT Astra Serif" w:hAnsi="PT Astra Serif" w:eastAsia="Tahoma" w:cs="Noto Sans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PT Astra Serif" w:hAnsi="PT Astra Serif" w:cs="Noto Sans Devanagari"/>
    </w:rPr>
  </w:style>
  <w:style w:type="paragraph" w:styleId="Style12">
    <w:name w:val="Caption"/>
    <w:basedOn w:val="Normal"/>
    <w:uiPriority w:val="35"/>
    <w:semiHidden/>
    <w:unhideWhenUsed/>
    <w:qFormat/>
    <w:pPr>
      <w:spacing w:lineRule="auto" w:line="276"/>
    </w:pPr>
    <w:rPr>
      <w:b/>
      <w:bCs/>
      <w:color w:val="4F81BD" w:themeColor="accent1"/>
      <w:sz w:val="18"/>
      <w:szCs w:val="18"/>
    </w:rPr>
  </w:style>
  <w:style w:type="paragraph" w:styleId="Style13">
    <w:name w:val="Указатель"/>
    <w:basedOn w:val="Normal"/>
    <w:qFormat/>
    <w:pPr>
      <w:suppressLineNumbers/>
    </w:pPr>
    <w:rPr>
      <w:rFonts w:ascii="PT Astra Serif" w:hAnsi="PT Astra Serif" w:cs="Noto Sans Devanagari"/>
    </w:rPr>
  </w:style>
  <w:style w:type="paragraph" w:styleId="Style14">
    <w:name w:val="Title"/>
    <w:basedOn w:val="Normal"/>
    <w:uiPriority w:val="10"/>
    <w:qFormat/>
    <w:pPr>
      <w:spacing w:before="300" w:after="200"/>
      <w:contextualSpacing/>
    </w:pPr>
    <w:rPr>
      <w:sz w:val="48"/>
      <w:szCs w:val="48"/>
    </w:rPr>
  </w:style>
  <w:style w:type="paragraph" w:styleId="Style15">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6">
    <w:name w:val="Колонтитул"/>
    <w:basedOn w:val="Normal"/>
    <w:qFormat/>
    <w:pPr/>
    <w:rPr/>
  </w:style>
  <w:style w:type="paragraph" w:styleId="Style17">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8">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note Text"/>
    <w:basedOn w:val="Normal"/>
    <w:uiPriority w:val="99"/>
    <w:semiHidden/>
    <w:unhideWhenUsed/>
    <w:pPr>
      <w:spacing w:lineRule="auto" w:line="240" w:before="0" w:after="40"/>
    </w:pPr>
    <w:rPr>
      <w:sz w:val="18"/>
    </w:rPr>
  </w:style>
  <w:style w:type="paragraph" w:styleId="Style20">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1">
    <w:name w:val="Index Heading"/>
    <w:basedOn w:val="Style9"/>
    <w:pPr/>
    <w:rPr/>
  </w:style>
  <w:style w:type="paragraph" w:styleId="Style22">
    <w:name w:val="TOC Heading"/>
    <w:uiPriority w:val="39"/>
    <w:unhideWhenUsed/>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LibreOffice/7.5.6.2$Linux_X86_64 LibreOffice_project/50$Build-2</Application>
  <AppVersion>15.0000</AppVersion>
  <Pages>4</Pages>
  <Words>680</Words>
  <Characters>5067</Characters>
  <CharactersWithSpaces>5700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2024-09-12T15:42:10Z</dcterms:modified>
  <cp:revision>2</cp:revision>
  <dc:subject/>
  <dc:title/>
</cp:coreProperties>
</file>