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t-a"/>
        <w:shd w:val="clear" w:color="auto" w:fill="FFFFFF"/>
        <w:spacing w:beforeAutospacing="0" w:before="0" w:afterAutospacing="0" w:after="0"/>
        <w:jc w:val="center"/>
        <w:rPr>
          <w:rStyle w:val="Pt-a0"/>
          <w:bCs/>
          <w:color w:val="000000"/>
          <w:sz w:val="28"/>
          <w:szCs w:val="28"/>
        </w:rPr>
      </w:pPr>
      <w:r>
        <w:rPr>
          <w:rStyle w:val="Pt-a0"/>
          <w:bCs/>
          <w:color w:val="000000"/>
          <w:sz w:val="28"/>
          <w:szCs w:val="28"/>
        </w:rPr>
        <w:t>Заключение экспертов</w:t>
      </w:r>
    </w:p>
    <w:p>
      <w:pPr>
        <w:pStyle w:val="Pt-a"/>
        <w:shd w:val="clear" w:color="auto" w:fill="FFFFFF"/>
        <w:spacing w:beforeAutospacing="0" w:before="0" w:afterAutospacing="0" w:after="0"/>
        <w:jc w:val="center"/>
        <w:rPr>
          <w:rStyle w:val="Pt-a0"/>
          <w:bCs/>
          <w:color w:val="000000"/>
          <w:sz w:val="28"/>
          <w:szCs w:val="28"/>
        </w:rPr>
      </w:pPr>
      <w:r>
        <w:rPr/>
      </w:r>
    </w:p>
    <w:p>
      <w:pPr>
        <w:pStyle w:val="Pt-a"/>
        <w:shd w:val="clear" w:color="auto" w:fill="FFFFFF"/>
        <w:spacing w:before="280" w:after="0"/>
        <w:jc w:val="center"/>
        <w:rPr>
          <w:sz w:val="28"/>
          <w:szCs w:val="28"/>
        </w:rPr>
      </w:pPr>
      <w:r>
        <w:rPr>
          <w:rStyle w:val="Pt-a0"/>
          <w:bCs/>
          <w:sz w:val="28"/>
          <w:szCs w:val="28"/>
        </w:rPr>
        <w:t xml:space="preserve">по итогам </w:t>
      </w:r>
      <w:r>
        <w:rPr>
          <w:sz w:val="28"/>
          <w:szCs w:val="28"/>
        </w:rPr>
        <w:t>независимой антикоррупционной экспертизы (или) общественного обсуждения проекта приказа МК РТ «Об утверждении формы проверочного  листа применяемого Министерством культуры  Республики Татарстан при осуществлении  регионального государственного контроля  (надзора) за состоянием Музейного фонда  Российской Федерации в Республике Татарстан»</w:t>
      </w:r>
    </w:p>
    <w:p>
      <w:pPr>
        <w:pStyle w:val="Pt-a"/>
        <w:shd w:val="clear" w:color="auto" w:fill="FFFFFF"/>
        <w:spacing w:before="280" w:after="0"/>
        <w:jc w:val="center"/>
        <w:rPr>
          <w:sz w:val="28"/>
          <w:szCs w:val="28"/>
        </w:rPr>
      </w:pPr>
      <w:r>
        <w:rPr>
          <w:sz w:val="28"/>
          <w:szCs w:val="28"/>
        </w:rPr>
      </w:r>
    </w:p>
    <w:tbl>
      <w:tblPr>
        <w:tblW w:w="95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24"/>
        <w:gridCol w:w="2481"/>
        <w:gridCol w:w="3293"/>
        <w:gridCol w:w="3172"/>
      </w:tblGrid>
      <w:tr>
        <w:trPr/>
        <w:tc>
          <w:tcPr>
            <w:tcW w:w="9570" w:type="dxa"/>
            <w:gridSpan w:val="4"/>
            <w:tcBorders>
              <w:top w:val="single" w:sz="4" w:space="0" w:color="000000"/>
              <w:left w:val="single" w:sz="4" w:space="0" w:color="000000"/>
              <w:bottom w:val="single" w:sz="4" w:space="0" w:color="000000"/>
              <w:right w:val="single" w:sz="4" w:space="0" w:color="000000"/>
            </w:tcBorders>
          </w:tcPr>
          <w:p>
            <w:pPr>
              <w:pStyle w:val="Pt-a"/>
              <w:widowControl w:val="false"/>
              <w:shd w:val="clear" w:color="auto" w:fill="FFFFFF"/>
              <w:spacing w:beforeAutospacing="0" w:before="120" w:afterAutospacing="0" w:after="120"/>
              <w:ind w:left="720" w:hanging="0"/>
              <w:jc w:val="center"/>
              <w:rPr>
                <w:b/>
                <w:sz w:val="28"/>
                <w:szCs w:val="28"/>
              </w:rPr>
            </w:pPr>
            <w:r>
              <w:rPr>
                <w:b/>
                <w:sz w:val="28"/>
                <w:szCs w:val="28"/>
              </w:rPr>
              <w:t>Независимая антикоррупционная экспертиза</w:t>
            </w:r>
          </w:p>
        </w:tc>
      </w:tr>
      <w:tr>
        <w:trPr>
          <w:trHeight w:val="1379" w:hRule="atLeast"/>
        </w:trPr>
        <w:tc>
          <w:tcPr>
            <w:tcW w:w="6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t>Эксперт</w:t>
            </w:r>
          </w:p>
          <w:p>
            <w:pPr>
              <w:pStyle w:val="Normal"/>
              <w:widowControl w:val="false"/>
              <w:spacing w:lineRule="auto" w:line="240" w:before="0" w:after="0"/>
              <w:jc w:val="center"/>
              <w:rPr>
                <w:rFonts w:ascii="Times New Roman" w:hAnsi="Times New Roman" w:eastAsia="Times New Roman"/>
                <w:b/>
                <w:bCs/>
                <w:sz w:val="18"/>
                <w:szCs w:val="18"/>
                <w:lang w:eastAsia="ru-RU"/>
              </w:rPr>
            </w:pPr>
            <w:r>
              <w:rPr>
                <w:rFonts w:eastAsia="Times New Roman" w:ascii="Times New Roman" w:hAnsi="Times New Roman"/>
                <w:b/>
                <w:bCs/>
                <w:sz w:val="18"/>
                <w:szCs w:val="18"/>
                <w:lang w:eastAsia="ru-RU"/>
              </w:rPr>
              <w:t>(Ф.И.О.</w:t>
            </w:r>
            <w:r>
              <w:rPr>
                <w:rFonts w:eastAsia="Times New Roman" w:ascii="Times New Roman" w:hAnsi="Times New Roman"/>
                <w:b/>
                <w:bCs/>
                <w:sz w:val="14"/>
                <w:szCs w:val="14"/>
                <w:lang w:eastAsia="ru-RU"/>
              </w:rPr>
              <w:t xml:space="preserve">(последнее – при наличии) </w:t>
            </w:r>
            <w:r>
              <w:rPr>
                <w:rFonts w:eastAsia="Times New Roman" w:ascii="Times New Roman" w:hAnsi="Times New Roman"/>
                <w:b/>
                <w:bCs/>
                <w:sz w:val="18"/>
                <w:szCs w:val="18"/>
                <w:lang w:eastAsia="ru-RU"/>
              </w:rPr>
              <w:t>/ реквизиты распоряжения Минюста России</w:t>
            </w:r>
          </w:p>
          <w:p>
            <w:pPr>
              <w:pStyle w:val="Normal"/>
              <w:widowControl w:val="false"/>
              <w:spacing w:lineRule="auto" w:line="240" w:before="0" w:after="0"/>
              <w:jc w:val="center"/>
              <w:rPr>
                <w:rFonts w:ascii="Times New Roman" w:hAnsi="Times New Roman" w:eastAsia="Times New Roman"/>
                <w:b/>
                <w:bCs/>
                <w:sz w:val="18"/>
                <w:szCs w:val="18"/>
                <w:lang w:eastAsia="ru-RU"/>
              </w:rPr>
            </w:pPr>
            <w:r>
              <w:rPr>
                <w:rFonts w:eastAsia="Times New Roman" w:ascii="Times New Roman" w:hAnsi="Times New Roman"/>
                <w:b/>
                <w:bCs/>
                <w:sz w:val="18"/>
                <w:szCs w:val="18"/>
                <w:lang w:eastAsia="ru-RU"/>
              </w:rPr>
              <w:t>об аккредитации)</w:t>
            </w:r>
          </w:p>
        </w:tc>
        <w:tc>
          <w:tcPr>
            <w:tcW w:w="32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Выявленный коррупциогенный фактор</w:t>
            </w:r>
          </w:p>
        </w:tc>
        <w:tc>
          <w:tcPr>
            <w:tcW w:w="3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Комментарии разработчика</w:t>
            </w:r>
          </w:p>
        </w:tc>
      </w:tr>
      <w:tr>
        <w:trPr>
          <w:trHeight w:val="295" w:hRule="atLeast"/>
        </w:trPr>
        <w:tc>
          <w:tcPr>
            <w:tcW w:w="624"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lang w:val="en-US"/>
              </w:rPr>
            </w:pPr>
            <w:r>
              <w:rPr>
                <w:color w:val="000000"/>
                <w:sz w:val="28"/>
                <w:szCs w:val="28"/>
                <w:lang w:val="en-US"/>
              </w:rPr>
            </w:r>
          </w:p>
        </w:tc>
        <w:tc>
          <w:tcPr>
            <w:tcW w:w="2481"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lang w:val="en-US"/>
              </w:rPr>
            </w:pPr>
            <w:r>
              <w:rPr>
                <w:color w:val="000000"/>
                <w:lang w:val="en-US"/>
              </w:rPr>
              <w:t>0</w:t>
            </w:r>
          </w:p>
        </w:tc>
        <w:tc>
          <w:tcPr>
            <w:tcW w:w="3293"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lang w:val="en-US"/>
              </w:rPr>
            </w:pPr>
            <w:r>
              <w:rPr>
                <w:color w:val="000000"/>
                <w:sz w:val="28"/>
                <w:szCs w:val="28"/>
                <w:lang w:val="en-US"/>
              </w:rPr>
              <w:t>0</w:t>
            </w:r>
          </w:p>
        </w:tc>
        <w:tc>
          <w:tcPr>
            <w:tcW w:w="3172"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ind w:firstLine="539"/>
              <w:jc w:val="center"/>
              <w:rPr>
                <w:color w:val="000000"/>
                <w:lang w:val="en-US"/>
              </w:rPr>
            </w:pPr>
            <w:r>
              <w:rPr>
                <w:color w:val="000000"/>
                <w:lang w:val="en-US"/>
              </w:rPr>
              <w:t>0</w:t>
            </w:r>
          </w:p>
        </w:tc>
      </w:tr>
    </w:tbl>
    <w:p>
      <w:pPr>
        <w:pStyle w:val="Normal"/>
        <w:rPr/>
      </w:pPr>
      <w:r>
        <w:rPr/>
      </w:r>
    </w:p>
    <w:p>
      <w:pPr>
        <w:pStyle w:val="Normal"/>
        <w:rPr/>
      </w:pPr>
      <w:r>
        <w:rPr/>
      </w:r>
    </w:p>
    <w:p>
      <w:pPr>
        <w:pStyle w:val="Normal"/>
        <w:jc w:val="center"/>
        <w:rPr>
          <w:rFonts w:ascii="Times" w:hAnsi="Times"/>
          <w:sz w:val="28"/>
          <w:szCs w:val="28"/>
        </w:rPr>
      </w:pPr>
      <w:r>
        <w:rPr>
          <w:rFonts w:ascii="Times" w:hAnsi="Times"/>
          <w:sz w:val="28"/>
          <w:szCs w:val="28"/>
        </w:rPr>
      </w:r>
    </w:p>
    <w:p>
      <w:pPr>
        <w:pStyle w:val="Normal"/>
        <w:spacing w:before="0" w:after="200"/>
        <w:jc w:val="both"/>
        <w:rPr>
          <w:rFonts w:ascii="Times" w:hAnsi="Times"/>
          <w:sz w:val="28"/>
          <w:szCs w:val="28"/>
        </w:rPr>
      </w:pPr>
      <w:r>
        <w:rPr>
          <w:rFonts w:ascii="Times" w:hAnsi="Times"/>
          <w:sz w:val="28"/>
          <w:szCs w:val="28"/>
        </w:rPr>
      </w:r>
    </w:p>
    <w:sectPr>
      <w:headerReference w:type="default" r:id="rId2"/>
      <w:type w:val="nextPage"/>
      <w:pgSz w:w="11906" w:h="16838"/>
      <w:pgMar w:left="1701" w:right="850" w:gutter="0" w:header="708"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Arial">
    <w:charset w:val="01"/>
    <w:family w:val="roman"/>
    <w:pitch w:val="default"/>
  </w:font>
  <w:font w:name="Times">
    <w:altName w:val="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95392629"/>
    </w:sdtPr>
    <w:sdtContent>
      <w:p>
        <w:pPr>
          <w:pStyle w:val="Style22"/>
          <w:jc w:val="center"/>
          <w:rPr/>
        </w:pPr>
        <w:r>
          <w:rPr/>
          <w:fldChar w:fldCharType="begin"/>
        </w:r>
        <w:r>
          <w:rPr/>
          <w:instrText xml:space="preserve"> PAGE </w:instrText>
        </w:r>
        <w:r>
          <w:rPr/>
          <w:fldChar w:fldCharType="separate"/>
        </w:r>
        <w:r>
          <w:rPr/>
          <w:t>0</w:t>
        </w:r>
        <w:r>
          <w:rPr/>
          <w:fldChar w:fldCharType="end"/>
        </w:r>
      </w:p>
    </w:sdtContent>
  </w:sdt>
  <w:p>
    <w:pPr>
      <w:pStyle w:val="Style22"/>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269c"/>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link w:val="11"/>
    <w:uiPriority w:val="9"/>
    <w:qFormat/>
    <w:rsid w:val="00401af9"/>
    <w:pPr>
      <w:spacing w:lineRule="auto" w:line="240" w:beforeAutospacing="1" w:afterAutospacing="1"/>
      <w:outlineLvl w:val="0"/>
    </w:pPr>
    <w:rPr>
      <w:rFonts w:ascii="Times New Roman" w:hAnsi="Times New Roman" w:eastAsia="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Pt-a0" w:customStyle="1">
    <w:name w:val="pt-a0"/>
    <w:basedOn w:val="DefaultParagraphFont"/>
    <w:qFormat/>
    <w:rsid w:val="0073269c"/>
    <w:rPr/>
  </w:style>
  <w:style w:type="character" w:styleId="11" w:customStyle="1">
    <w:name w:val="Заголовок 1 Знак"/>
    <w:basedOn w:val="DefaultParagraphFont"/>
    <w:uiPriority w:val="9"/>
    <w:qFormat/>
    <w:rsid w:val="00401af9"/>
    <w:rPr>
      <w:rFonts w:ascii="Times New Roman" w:hAnsi="Times New Roman" w:eastAsia="Times New Roman" w:cs="Times New Roman"/>
      <w:b/>
      <w:bCs/>
      <w:kern w:val="2"/>
      <w:sz w:val="48"/>
      <w:szCs w:val="48"/>
      <w:lang w:eastAsia="ru-RU"/>
    </w:rPr>
  </w:style>
  <w:style w:type="character" w:styleId="-">
    <w:name w:val="Hyperlink"/>
    <w:basedOn w:val="DefaultParagraphFont"/>
    <w:uiPriority w:val="99"/>
    <w:unhideWhenUsed/>
    <w:rsid w:val="00d150ad"/>
    <w:rPr>
      <w:color w:val="0000FF" w:themeColor="hyperlink"/>
      <w:u w:val="single"/>
    </w:rPr>
  </w:style>
  <w:style w:type="character" w:styleId="Style13">
    <w:name w:val="FollowedHyperlink"/>
    <w:basedOn w:val="DefaultParagraphFont"/>
    <w:uiPriority w:val="99"/>
    <w:semiHidden/>
    <w:unhideWhenUsed/>
    <w:rsid w:val="006466fd"/>
    <w:rPr>
      <w:color w:val="800080" w:themeColor="followedHyperlink"/>
      <w:u w:val="single"/>
    </w:rPr>
  </w:style>
  <w:style w:type="character" w:styleId="Style14" w:customStyle="1">
    <w:name w:val="Верхний колонтитул Знак"/>
    <w:basedOn w:val="DefaultParagraphFont"/>
    <w:uiPriority w:val="99"/>
    <w:qFormat/>
    <w:rsid w:val="00774db3"/>
    <w:rPr>
      <w:rFonts w:ascii="Times New Roman" w:hAnsi="Times New Roman" w:eastAsia="Times New Roman" w:cs="Times New Roman"/>
      <w:sz w:val="20"/>
      <w:szCs w:val="20"/>
      <w:lang w:eastAsia="ru-RU"/>
    </w:rPr>
  </w:style>
  <w:style w:type="character" w:styleId="Style15" w:customStyle="1">
    <w:name w:val="Нижний колонтитул Знак"/>
    <w:basedOn w:val="DefaultParagraphFont"/>
    <w:uiPriority w:val="99"/>
    <w:qFormat/>
    <w:rsid w:val="00774db3"/>
    <w:rPr>
      <w:rFonts w:ascii="Calibri" w:hAnsi="Calibri" w:eastAsia="Calibri" w:cs="Times New Roman"/>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73269c"/>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Pt-a" w:customStyle="1">
    <w:name w:val="pt-a"/>
    <w:basedOn w:val="Normal"/>
    <w:qFormat/>
    <w:rsid w:val="0073269c"/>
    <w:pPr>
      <w:spacing w:lineRule="auto" w:line="240" w:beforeAutospacing="1" w:afterAutospacing="1"/>
    </w:pPr>
    <w:rPr>
      <w:rFonts w:ascii="Times New Roman" w:hAnsi="Times New Roman" w:eastAsia="Times New Roman"/>
      <w:sz w:val="24"/>
      <w:szCs w:val="24"/>
      <w:lang w:eastAsia="ru-RU"/>
    </w:rPr>
  </w:style>
  <w:style w:type="paragraph" w:styleId="Style21">
    <w:name w:val="Колонтитул"/>
    <w:basedOn w:val="Normal"/>
    <w:qFormat/>
    <w:pPr/>
    <w:rPr/>
  </w:style>
  <w:style w:type="paragraph" w:styleId="Style22">
    <w:name w:val="Header"/>
    <w:basedOn w:val="Normal"/>
    <w:link w:val="Style14"/>
    <w:uiPriority w:val="99"/>
    <w:unhideWhenUsed/>
    <w:rsid w:val="00774db3"/>
    <w:pPr>
      <w:tabs>
        <w:tab w:val="clear" w:pos="708"/>
        <w:tab w:val="center" w:pos="4677" w:leader="none"/>
        <w:tab w:val="right" w:pos="9355" w:leader="none"/>
      </w:tabs>
      <w:overflowPunct w:val="false"/>
      <w:spacing w:lineRule="auto" w:line="240" w:before="0" w:after="0"/>
    </w:pPr>
    <w:rPr>
      <w:rFonts w:ascii="Times New Roman" w:hAnsi="Times New Roman" w:eastAsia="Times New Roman"/>
      <w:sz w:val="20"/>
      <w:szCs w:val="20"/>
      <w:lang w:eastAsia="ru-RU"/>
    </w:rPr>
  </w:style>
  <w:style w:type="paragraph" w:styleId="Style23">
    <w:name w:val="Footer"/>
    <w:basedOn w:val="Normal"/>
    <w:link w:val="Style15"/>
    <w:uiPriority w:val="99"/>
    <w:unhideWhenUsed/>
    <w:rsid w:val="00774db3"/>
    <w:pPr>
      <w:tabs>
        <w:tab w:val="clear" w:pos="708"/>
        <w:tab w:val="center" w:pos="4677" w:leader="none"/>
        <w:tab w:val="right" w:pos="9355" w:leader="none"/>
      </w:tabs>
      <w:spacing w:lineRule="auto" w:line="240" w:before="0" w:after="0"/>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Application>LibreOffice/7.5.6.2$Linux_X86_64 LibreOffice_project/50$Build-2</Application>
  <AppVersion>15.0000</AppVersion>
  <Pages>1</Pages>
  <Words>63</Words>
  <Characters>510</Characters>
  <CharactersWithSpaces>566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2024-04-08T12:06:00Z</dcterms:created>
  <dc:creator>Наталья</dc:creator>
  <dc:description/>
  <dc:language>ru-RU</dc:language>
  <cp:lastModifiedBy/>
  <dcterms:modified xsi:type="dcterms:W3CDTF">2024-08-14T12:31:17Z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