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18"/>
      </w:pPr>
      <w:r>
        <w:t xml:space="preserve">Сводная информация</w:t>
      </w:r>
      <w:r>
        <w:br/>
        <w:t xml:space="preserve">по итогам независимой антикоррупционной экспертизы и (или) общественного обсуждения проекта</w:t>
      </w:r>
      <w:r/>
    </w:p>
    <w:p>
      <w:r/>
      <w:r/>
    </w:p>
    <w:p>
      <w:pPr>
        <w:ind w:left="0" w:right="0" w:firstLine="0"/>
        <w:jc w:val="center"/>
        <w:rPr>
          <w:b/>
          <w:bCs/>
        </w:rPr>
      </w:pPr>
      <w:r>
        <w:rPr>
          <w:b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изменения в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Порядок определения объема и условий предоставления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, в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  <w:t xml:space="preserve">отношении которого Министерство образо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вания и науки Республики Татарстан осуществляет функции и полномочия учредителя, субсидии из бюджета Республики Татарстан на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обеспечение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организации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обучени</w:t>
      </w:r>
      <w:r>
        <w:rPr>
          <w:rFonts w:eastAsia="Calibri"/>
          <w:b/>
          <w:bCs/>
          <w:sz w:val="24"/>
          <w:szCs w:val="24"/>
          <w:lang w:eastAsia="en-US"/>
        </w:rPr>
        <w:t xml:space="preserve">я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специалистов системы образования Республики Татарстан по направлениям подготовки высшего образования </w:t>
      </w:r>
      <w:r>
        <w:rPr>
          <w:rFonts w:eastAsia="Calibri"/>
          <w:b/>
          <w:bCs/>
          <w:sz w:val="24"/>
          <w:szCs w:val="24"/>
          <w:lang w:eastAsia="en-US"/>
        </w:rPr>
        <w:t xml:space="preserve">«История тюркских народов», «История, экономика и культура тюркских народов», «История искусств тюркско-мусульманского мира», «Педагогическое образование»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на основании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распоряжени</w:t>
      </w:r>
      <w:r>
        <w:rPr>
          <w:rFonts w:eastAsia="Calibri"/>
          <w:b/>
          <w:bCs/>
          <w:sz w:val="24"/>
          <w:szCs w:val="24"/>
          <w:lang w:eastAsia="en-US"/>
        </w:rPr>
        <w:t xml:space="preserve">й</w:t>
      </w:r>
      <w:r>
        <w:rPr>
          <w:rFonts w:eastAsia="Calibri"/>
          <w:b/>
          <w:bCs/>
          <w:sz w:val="24"/>
          <w:szCs w:val="24"/>
          <w:lang w:eastAsia="en-US"/>
        </w:rPr>
        <w:t xml:space="preserve"> Кабинета Министров Республики </w:t>
      </w:r>
      <w:r>
        <w:rPr>
          <w:rFonts w:eastAsia="Calibri"/>
          <w:b/>
          <w:bCs/>
          <w:sz w:val="24"/>
          <w:szCs w:val="24"/>
          <w:lang w:eastAsia="en-US"/>
        </w:rPr>
        <w:t xml:space="preserve">Татарстан</w:t>
      </w:r>
      <w:r>
        <w:rPr>
          <w:rFonts w:eastAsia="Calibri"/>
          <w:b/>
          <w:bCs/>
          <w:sz w:val="24"/>
          <w:szCs w:val="24"/>
          <w:lang w:eastAsia="en-US"/>
        </w:rPr>
        <w:t xml:space="preserve"> 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/>
          <w:bCs/>
          <w:sz w:val="24"/>
          <w:szCs w:val="24"/>
          <w:lang w:eastAsia="en-US"/>
        </w:rPr>
        <w:t xml:space="preserve">30.12.2019 № 3601-р,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/>
          <w:bCs/>
          <w:sz w:val="24"/>
          <w:szCs w:val="24"/>
          <w:lang w:eastAsia="en-US"/>
        </w:rPr>
        <w:t xml:space="preserve">19.09.2022 № 2005-р</w:t>
      </w:r>
      <w:r>
        <w:rPr>
          <w:rFonts w:eastAsia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b/>
          <w:bCs/>
          <w:sz w:val="24"/>
          <w:szCs w:val="24"/>
          <w:lang w:eastAsia="en-US"/>
        </w:rPr>
        <w:t xml:space="preserve">78</w:t>
      </w:r>
      <w:r>
        <w:rPr>
          <w:rFonts w:eastAsia="Cambria Math"/>
          <w:b/>
          <w:bCs/>
          <w:sz w:val="24"/>
          <w:szCs w:val="24"/>
          <w:vertAlign w:val="superscript"/>
          <w:lang w:eastAsia="en-US"/>
        </w:rPr>
        <w:t xml:space="preserve">1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Бюджетного кодекса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утвержденный приказом Министерства образования и науки Республики Татарстан от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04.10.2022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 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под-1652/22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N</w:t>
            </w:r>
            <w:r/>
          </w:p>
          <w:p>
            <w:pPr>
              <w:pStyle w:val="624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Эксперт</w:t>
            </w:r>
            <w:r/>
          </w:p>
          <w:p>
            <w:pPr>
              <w:pStyle w:val="624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Комментарии</w:t>
            </w:r>
            <w:r/>
          </w:p>
          <w:p>
            <w:pPr>
              <w:pStyle w:val="624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N</w:t>
            </w:r>
            <w:r/>
          </w:p>
          <w:p>
            <w:pPr>
              <w:pStyle w:val="624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624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Комментарии</w:t>
            </w:r>
            <w:r/>
          </w:p>
          <w:p>
            <w:pPr>
              <w:pStyle w:val="624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618">
    <w:name w:val="Heading 1"/>
    <w:basedOn w:val="617"/>
    <w:next w:val="617"/>
    <w:link w:val="62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623" w:customStyle="1">
    <w:name w:val="Цветовое выделение"/>
    <w:uiPriority w:val="99"/>
    <w:rPr>
      <w:b/>
      <w:bCs/>
      <w:color w:val="26282f"/>
    </w:rPr>
  </w:style>
  <w:style w:type="paragraph" w:styleId="624" w:customStyle="1">
    <w:name w:val="Нормальный (таблица)"/>
    <w:basedOn w:val="617"/>
    <w:next w:val="617"/>
    <w:uiPriority w:val="99"/>
    <w:pPr>
      <w:ind w:firstLine="0"/>
    </w:pPr>
  </w:style>
  <w:style w:type="paragraph" w:styleId="625" w:customStyle="1">
    <w:name w:val="Таблицы (моноширинный)"/>
    <w:basedOn w:val="617"/>
    <w:next w:val="617"/>
    <w:uiPriority w:val="99"/>
    <w:pPr>
      <w:ind w:firstLine="0"/>
      <w:jc w:val="left"/>
    </w:pPr>
    <w:rPr>
      <w:rFonts w:ascii="Courier New" w:hAnsi="Courier New" w:cs="Courier New"/>
    </w:rPr>
  </w:style>
  <w:style w:type="paragraph" w:styleId="626" w:customStyle="1">
    <w:name w:val="Прижатый влево"/>
    <w:basedOn w:val="617"/>
    <w:next w:val="617"/>
    <w:uiPriority w:val="99"/>
    <w:pPr>
      <w:ind w:firstLine="0"/>
      <w:jc w:val="left"/>
    </w:pPr>
  </w:style>
  <w:style w:type="character" w:styleId="627">
    <w:name w:val="Hyperlink"/>
    <w:basedOn w:val="61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</cp:revision>
  <dcterms:created xsi:type="dcterms:W3CDTF">2024-05-23T06:14:00Z</dcterms:created>
  <dcterms:modified xsi:type="dcterms:W3CDTF">2024-07-22T07:05:48Z</dcterms:modified>
</cp:coreProperties>
</file>