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33676B" w:rsidRDefault="0073269C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DE3BD0" w:rsidRPr="00DE3BD0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6E1A18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6E1A18" w:rsidRPr="006E1A18">
        <w:rPr>
          <w:rFonts w:ascii="Times New Roman" w:hAnsi="Times New Roman"/>
          <w:sz w:val="28"/>
          <w:szCs w:val="28"/>
        </w:rPr>
        <w:t>Об установлении водоохранных зон и прибрежных защитных полос водных объектов рек Крутовка, Вертелевка, Чангара, Морквашинка, Шишрека, Саинка, Касымов, Тоша, Иныш, Большая Тельца, Студенец, Киятка, 2 безымянных притоков реки Киндерка, безымянного притока Нижнекамского водохранилища у д.Белоус, озера Иске-Идель, рек Стрелочный Лог, Иганя-суа, Иганя, Гардалинка, Ржавец, Добромышка, Сурка, Тумбарля (Тумбарлинка), Шайтанка, Ашит, Лащи, Чильча, Чуксы, Шарманка, безымянного притока р.Свияга у с.Черки-Гришино, расположенных на территории г. Казани, г. Набережные Челны, Актанышского, Альметьевского, Арского, Бугульминского, Буинского, Верхнеуслонского, Высокогорского, Камско-Устьинского, Мензелинского, Нижнекамского, Сармановского, Тетюшского, Тукаевского муниципальных районов Республики Татарстан</w:t>
      </w:r>
      <w:r w:rsidR="006E1A18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6E1A1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A15D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146</cp:revision>
  <dcterms:created xsi:type="dcterms:W3CDTF">2023-05-22T09:56:00Z</dcterms:created>
  <dcterms:modified xsi:type="dcterms:W3CDTF">2024-02-05T12:57:00Z</dcterms:modified>
</cp:coreProperties>
</file>