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23E11" w:rsidRDefault="00D23E11" w:rsidP="00827378">
      <w:pPr>
        <w:ind w:right="-283" w:firstLine="709"/>
        <w:jc w:val="center"/>
        <w:rPr>
          <w:sz w:val="28"/>
          <w:szCs w:val="28"/>
        </w:rPr>
      </w:pPr>
      <w:bookmarkStart w:id="0" w:name="_GoBack"/>
      <w:bookmarkEnd w:id="0"/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AE35D2">
        <w:rPr>
          <w:sz w:val="28"/>
          <w:szCs w:val="28"/>
        </w:rPr>
        <w:t xml:space="preserve"> </w:t>
      </w:r>
      <w:r w:rsidRPr="00D23E11">
        <w:rPr>
          <w:sz w:val="28"/>
          <w:szCs w:val="28"/>
        </w:rPr>
        <w:t>распоряжения Министерства земельных и имущественных отношений Республики Татарстан "О внесении изменения в распоряжение Министерства земельных и имущественных отношений Республики Татарстан</w:t>
      </w:r>
    </w:p>
    <w:p w:rsidR="001E0E44" w:rsidRPr="00D23E11" w:rsidRDefault="00D23E11" w:rsidP="00827378">
      <w:pPr>
        <w:ind w:right="-283" w:firstLine="709"/>
        <w:jc w:val="center"/>
        <w:rPr>
          <w:sz w:val="28"/>
          <w:szCs w:val="28"/>
        </w:rPr>
      </w:pPr>
      <w:r w:rsidRPr="00D23E11">
        <w:rPr>
          <w:sz w:val="28"/>
          <w:szCs w:val="28"/>
        </w:rPr>
        <w:t xml:space="preserve"> от 28.11.2023 № 3355-р «Об определении вида фактического использования зданий (строений, сооружений) и помещений для целей налогообложения».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23E11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834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201</cp:revision>
  <dcterms:created xsi:type="dcterms:W3CDTF">2021-07-07T11:18:00Z</dcterms:created>
  <dcterms:modified xsi:type="dcterms:W3CDTF">2024-02-02T12:36:00Z</dcterms:modified>
</cp:coreProperties>
</file>