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258E0" w:rsidRPr="00E258E0">
        <w:rPr>
          <w:rFonts w:ascii="Times New Roman" w:hAnsi="Times New Roman"/>
          <w:sz w:val="28"/>
          <w:szCs w:val="28"/>
          <w:shd w:val="clear" w:color="auto" w:fill="FFFFFF"/>
        </w:rPr>
        <w:t>О корректировке на 2024 год долгосрочных тарифов на питьевую воду для Муниципального унитарного предприятия «</w:t>
      </w:r>
      <w:proofErr w:type="spellStart"/>
      <w:r w:rsidR="00E258E0" w:rsidRPr="00E258E0">
        <w:rPr>
          <w:rFonts w:ascii="Times New Roman" w:hAnsi="Times New Roman"/>
          <w:sz w:val="28"/>
          <w:szCs w:val="28"/>
          <w:shd w:val="clear" w:color="auto" w:fill="FFFFFF"/>
        </w:rPr>
        <w:t>Пестречинские</w:t>
      </w:r>
      <w:proofErr w:type="spellEnd"/>
      <w:r w:rsidR="00E258E0" w:rsidRPr="00E258E0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сети», установленных постановлением Государственного комитета Республики Татарстан по тарифам от 10.12.2021 № 506-164/кс-2021</w:t>
      </w:r>
      <w:bookmarkStart w:id="0" w:name="_GoBack"/>
      <w:bookmarkEnd w:id="0"/>
      <w:r w:rsidR="009C4588" w:rsidRPr="009C458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58"/>
    <w:rsid w:val="0097163C"/>
    <w:rsid w:val="00972B67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3820"/>
    <w:rsid w:val="00F971F2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2FE9-13F3-4923-9A28-23C4DA7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2023-12-27T06:22:00Z</dcterms:created>
  <dcterms:modified xsi:type="dcterms:W3CDTF">2023-12-27T06:22:00Z</dcterms:modified>
</cp:coreProperties>
</file>