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6/44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от 14.07.2021 № 572 «О мерах </w:t>
      </w:r>
      <w:proofErr w:type="spellStart"/>
      <w:r>
        <w:rPr>
          <w:rFonts w:ascii="XO Thames" w:hAnsi="XO Thames"/>
          <w:color w:val="000000"/>
          <w:sz w:val="28"/>
          <w:szCs w:val="20"/>
        </w:rPr>
        <w:t>грантовой</w:t>
      </w:r>
      <w:proofErr w:type="spellEnd"/>
      <w:r>
        <w:rPr>
          <w:rFonts w:ascii="XO Thames" w:hAnsi="XO Thames"/>
          <w:color w:val="000000"/>
          <w:sz w:val="28"/>
          <w:szCs w:val="20"/>
        </w:rPr>
        <w:t xml:space="preserve"> поддержки агропромышленного комплекса»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2023-06-23T14:14:00Z</dcterms:created>
  <dcterms:modified xsi:type="dcterms:W3CDTF">2023-06-23T14:14:00Z</dcterms:modified>
</cp:coreProperties>
</file>