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5/39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проект приказа Министерства сельского хозяйства и продовольствия Республики Татарстан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both"/>
        <w:rPr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0"/>
        </w:rPr>
        <w:t>Об утверждении Порядка работы с обращениями граждан по фактам коррупционной направленности, поступившими в Министерство сельского хозяйства и продовольствия Республики Татарстан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2399"/>
        <w:gridCol w:w="3155"/>
        <w:gridCol w:w="1775"/>
        <w:gridCol w:w="1375"/>
      </w:tblGrid>
      <w:tr>
        <w:tc>
          <w:tcPr>
            <w:tcW w:w="9345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41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150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41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9" w:type="dxa"/>
          </w:tcPr>
          <w:p>
            <w:pPr>
              <w:pStyle w:val="pt-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Темников Вячеслав Викторович, распоряжение Министерства юстиции Российской Федерации от 27.03.2020 № 335-р -</w:t>
            </w:r>
          </w:p>
        </w:tc>
        <w:tc>
          <w:tcPr>
            <w:tcW w:w="3155" w:type="dxa"/>
          </w:tcPr>
          <w:p>
            <w:pPr>
              <w:pStyle w:val="pt-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или неполнота административных</w:t>
            </w:r>
            <w:bookmarkStart w:id="0" w:name="_GoBack"/>
            <w:bookmarkEnd w:id="0"/>
            <w:r>
              <w:rPr>
                <w:color w:val="000000"/>
              </w:rPr>
              <w:t xml:space="preserve"> процедур</w:t>
            </w:r>
          </w:p>
        </w:tc>
        <w:tc>
          <w:tcPr>
            <w:tcW w:w="3150" w:type="dxa"/>
            <w:gridSpan w:val="2"/>
          </w:tcPr>
          <w:p>
            <w:pPr>
              <w:pStyle w:val="pt-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Положения пункта 9 проекта Порядка не отменяют (не изменяют) </w:t>
            </w:r>
            <w:proofErr w:type="gramStart"/>
            <w:r>
              <w:rPr>
                <w:color w:val="000000"/>
              </w:rPr>
              <w:t>установленные  Федеральными</w:t>
            </w:r>
            <w:proofErr w:type="gramEnd"/>
            <w:r>
              <w:rPr>
                <w:color w:val="000000"/>
              </w:rPr>
              <w:t xml:space="preserve"> законами «О противодействии </w:t>
            </w:r>
            <w:proofErr w:type="spellStart"/>
            <w:r>
              <w:rPr>
                <w:color w:val="000000"/>
              </w:rPr>
              <w:t>корруп-ции</w:t>
            </w:r>
            <w:proofErr w:type="spellEnd"/>
            <w:r>
              <w:rPr>
                <w:color w:val="000000"/>
              </w:rPr>
              <w:t xml:space="preserve">», «О государственной гражданской службе Российской Федерации» обязанность </w:t>
            </w:r>
            <w:proofErr w:type="spellStart"/>
            <w:r>
              <w:rPr>
                <w:color w:val="000000"/>
              </w:rPr>
              <w:t>государствен-ного</w:t>
            </w:r>
            <w:proofErr w:type="spellEnd"/>
            <w:r>
              <w:rPr>
                <w:color w:val="000000"/>
              </w:rPr>
              <w:t xml:space="preserve"> служащего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рассмотрение такого уведомления в установленном порядке. Положения пункта 9 проекта Порядка не содержат </w:t>
            </w:r>
            <w:proofErr w:type="spellStart"/>
            <w:r>
              <w:rPr>
                <w:color w:val="000000"/>
              </w:rPr>
              <w:t>коррупциогенный</w:t>
            </w:r>
            <w:proofErr w:type="spellEnd"/>
            <w:r>
              <w:rPr>
                <w:color w:val="000000"/>
              </w:rPr>
              <w:t xml:space="preserve"> фактор, поскольку не создают условия для проявления коррупции</w:t>
            </w:r>
          </w:p>
        </w:tc>
      </w:tr>
      <w:tr>
        <w:tc>
          <w:tcPr>
            <w:tcW w:w="9345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41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150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41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9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5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50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41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9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5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50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41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9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5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50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7970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3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>
        <w:tc>
          <w:tcPr>
            <w:tcW w:w="7970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3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7970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3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7970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3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3</cp:revision>
  <dcterms:created xsi:type="dcterms:W3CDTF">2023-06-29T09:40:00Z</dcterms:created>
  <dcterms:modified xsi:type="dcterms:W3CDTF">2023-06-29T09:51:00Z</dcterms:modified>
</cp:coreProperties>
</file>