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3C160B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A4688" w:rsidRPr="00F23BE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14.12.2018 № 10-158/кс «Об установлении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</w:r>
      <w:proofErr w:type="spellStart"/>
      <w:r w:rsidR="00EA4688" w:rsidRPr="00F23BE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EA4688" w:rsidRPr="00F23BEF">
        <w:rPr>
          <w:rFonts w:ascii="Times New Roman" w:hAnsi="Times New Roman"/>
          <w:sz w:val="28"/>
          <w:szCs w:val="28"/>
          <w:shd w:val="clear" w:color="auto" w:fill="FFFFFF"/>
        </w:rPr>
        <w:t>» на 2019-2023 годы и корректировке на 2023 год долгосрочных тарифов на водоотведение и водоотведение (поверхностные сточные воды), установленных постановлением Государственного комитета Республики Татарстан</w:t>
      </w:r>
      <w:proofErr w:type="gramEnd"/>
      <w:r w:rsidR="00EA4688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по тарифам от 14.12.2018 № 10-158/кс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17FE-D590-4067-B1D0-469533AE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1152</cp:revision>
  <dcterms:created xsi:type="dcterms:W3CDTF">2018-09-24T14:03:00Z</dcterms:created>
  <dcterms:modified xsi:type="dcterms:W3CDTF">2022-11-28T14:40:00Z</dcterms:modified>
</cp:coreProperties>
</file>