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7426E" w:rsidRPr="0047426E">
        <w:rPr>
          <w:sz w:val="28"/>
          <w:szCs w:val="28"/>
        </w:rPr>
        <w:t xml:space="preserve"> </w:t>
      </w:r>
      <w:r w:rsidR="003F02DD">
        <w:rPr>
          <w:sz w:val="28"/>
          <w:szCs w:val="28"/>
        </w:rPr>
        <w:t>Закона Республики Татарстан «</w:t>
      </w:r>
      <w:r w:rsidR="003F02DD" w:rsidRPr="003F02DD">
        <w:rPr>
          <w:sz w:val="28"/>
          <w:szCs w:val="28"/>
        </w:rPr>
        <w:t>О внесении изменений в Закон Республики Татарстан «Об управлении и распоряжении государственным имуществом Республики Татарстан» и признании утратившим силу Закона Республики Татарстан «О государственном имуществе Республики Татарстан»</w:t>
      </w:r>
      <w:r w:rsidR="003F02DD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2DD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6B9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64</cp:revision>
  <dcterms:created xsi:type="dcterms:W3CDTF">2021-07-07T11:18:00Z</dcterms:created>
  <dcterms:modified xsi:type="dcterms:W3CDTF">2022-07-25T13:17:00Z</dcterms:modified>
</cp:coreProperties>
</file>