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8C36D6" w:rsidRPr="008C36D6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8C36D6">
        <w:rPr>
          <w:rStyle w:val="pt-a0"/>
          <w:bCs/>
          <w:color w:val="000000"/>
          <w:sz w:val="28"/>
          <w:szCs w:val="28"/>
        </w:rPr>
        <w:t>«</w:t>
      </w:r>
      <w:r w:rsidR="008C36D6" w:rsidRPr="008C36D6">
        <w:rPr>
          <w:rStyle w:val="pt-a0"/>
          <w:bCs/>
          <w:color w:val="000000"/>
          <w:sz w:val="28"/>
          <w:szCs w:val="28"/>
        </w:rPr>
        <w:t>Об утверждении графического описания местоположения границ памятников природы регионального значения «Озеро Акташский провал», «Озеро Большое», «Озеро Кара-Куль (Черное)», «Озеро Копаное»</w:t>
      </w:r>
      <w:r w:rsidR="008C36D6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E70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53</cp:revision>
  <dcterms:created xsi:type="dcterms:W3CDTF">2021-07-22T13:03:00Z</dcterms:created>
  <dcterms:modified xsi:type="dcterms:W3CDTF">2022-06-24T06:13:00Z</dcterms:modified>
</cp:coreProperties>
</file>