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F468E" w:rsidRPr="008F468E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</w:t>
      </w:r>
      <w:r w:rsidR="000D41CA" w:rsidRPr="000D41CA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«Об утверждении Порядка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="000D41CA" w:rsidRPr="000D41CA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="000D41CA" w:rsidRPr="000D41CA">
        <w:rPr>
          <w:rFonts w:ascii="Times New Roman" w:hAnsi="Times New Roman" w:cs="Times New Roman"/>
          <w:sz w:val="24"/>
          <w:szCs w:val="24"/>
          <w:u w:val="single"/>
        </w:rPr>
        <w:t>» (индустриальный парк «Алабуга-2») акционерному обществу «Особая экономическая зона промышленно-производственного типа «</w:t>
      </w:r>
      <w:proofErr w:type="spellStart"/>
      <w:r w:rsidR="000D41CA" w:rsidRPr="000D41CA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="000D41CA" w:rsidRPr="000D41CA">
        <w:rPr>
          <w:rFonts w:ascii="Times New Roman" w:hAnsi="Times New Roman" w:cs="Times New Roman"/>
          <w:sz w:val="24"/>
          <w:szCs w:val="24"/>
          <w:u w:val="single"/>
        </w:rPr>
        <w:t>», связанных с уплатой основного долга и процентов по кредитам, п</w:t>
      </w:r>
      <w:r w:rsidR="000D41CA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0D41CA" w:rsidRPr="000D41CA">
        <w:rPr>
          <w:rFonts w:ascii="Times New Roman" w:hAnsi="Times New Roman" w:cs="Times New Roman"/>
          <w:sz w:val="24"/>
          <w:szCs w:val="24"/>
          <w:u w:val="single"/>
        </w:rPr>
        <w:t>лученным в российских кредитных организациях и (или) государственной корпорации развития «ВЭБ.РФ»</w:t>
      </w:r>
      <w:r w:rsidR="006A5A15"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D41CA"/>
    <w:rsid w:val="000F662D"/>
    <w:rsid w:val="00193A23"/>
    <w:rsid w:val="001A1E45"/>
    <w:rsid w:val="001C6B8D"/>
    <w:rsid w:val="002574F7"/>
    <w:rsid w:val="00280471"/>
    <w:rsid w:val="00295F8D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622B2"/>
    <w:rsid w:val="00796E62"/>
    <w:rsid w:val="007F27BB"/>
    <w:rsid w:val="008A3065"/>
    <w:rsid w:val="008C6A34"/>
    <w:rsid w:val="008F468E"/>
    <w:rsid w:val="0091029D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25</cp:revision>
  <dcterms:created xsi:type="dcterms:W3CDTF">2019-02-18T10:19:00Z</dcterms:created>
  <dcterms:modified xsi:type="dcterms:W3CDTF">2022-05-27T06:06:00Z</dcterms:modified>
</cp:coreProperties>
</file>