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EE5C3B" w:rsidRPr="00EE5C3B">
        <w:rPr>
          <w:rStyle w:val="pt-a0"/>
          <w:bCs/>
          <w:color w:val="000000"/>
          <w:sz w:val="28"/>
          <w:szCs w:val="28"/>
        </w:rPr>
        <w:t>Об утверждении перечня должностных лиц Государственного комитета Республики Татарстан по биологическим ресурсам, уполномоченным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  <w:bookmarkStart w:id="0" w:name="_GoBack"/>
      <w:bookmarkEnd w:id="0"/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22A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24</cp:revision>
  <dcterms:created xsi:type="dcterms:W3CDTF">2021-07-22T13:03:00Z</dcterms:created>
  <dcterms:modified xsi:type="dcterms:W3CDTF">2022-02-24T06:35:00Z</dcterms:modified>
</cp:coreProperties>
</file>