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A51F1D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A51F1D">
        <w:rPr>
          <w:rFonts w:ascii="Times New Roman" w:hAnsi="Times New Roman"/>
          <w:sz w:val="28"/>
          <w:szCs w:val="28"/>
          <w:shd w:val="clear" w:color="auto" w:fill="FFFFFF"/>
        </w:rPr>
        <w:t> «О корректировке на 2022 год долгосрочных тарифов на тепловую энергию (мощность), поставляемую Акционерным обществом «</w:t>
      </w:r>
      <w:proofErr w:type="spellStart"/>
      <w:r w:rsidRPr="00A51F1D">
        <w:rPr>
          <w:rFonts w:ascii="Times New Roman" w:hAnsi="Times New Roman"/>
          <w:sz w:val="28"/>
          <w:szCs w:val="28"/>
          <w:shd w:val="clear" w:color="auto" w:fill="FFFFFF"/>
        </w:rPr>
        <w:t>Казэнерго</w:t>
      </w:r>
      <w:proofErr w:type="spellEnd"/>
      <w:r w:rsidRPr="00A51F1D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18.12.2018 № 5-95/тэ»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475</cp:revision>
  <dcterms:created xsi:type="dcterms:W3CDTF">2018-09-24T14:03:00Z</dcterms:created>
  <dcterms:modified xsi:type="dcterms:W3CDTF">2021-12-13T08:14:00Z</dcterms:modified>
</cp:coreProperties>
</file>