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4A60C1">
        <w:rPr>
          <w:rStyle w:val="pt-a0"/>
          <w:b/>
          <w:bCs/>
          <w:color w:val="000000"/>
          <w:sz w:val="28"/>
          <w:szCs w:val="28"/>
        </w:rPr>
        <w:t>8/</w:t>
      </w:r>
      <w:r w:rsidR="000955CE">
        <w:rPr>
          <w:rStyle w:val="pt-a0"/>
          <w:b/>
          <w:bCs/>
          <w:color w:val="000000"/>
          <w:sz w:val="28"/>
          <w:szCs w:val="28"/>
        </w:rPr>
        <w:t>18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0955CE" w:rsidRDefault="000955CE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955CE">
        <w:rPr>
          <w:color w:val="000000"/>
          <w:sz w:val="28"/>
          <w:szCs w:val="28"/>
        </w:rPr>
        <w:t>О признании утратившим силу приказа Министерства сельского хозяйства и продовольствия Республики Татарстан от 22.04.2020  №99/2-пр «Об утверждении Административного регламента 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 Республике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5CE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A60C1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4CAF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1128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E7D3E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2021-08-27T03:33:00Z</dcterms:created>
  <dcterms:modified xsi:type="dcterms:W3CDTF">2021-08-27T03:33:00Z</dcterms:modified>
</cp:coreProperties>
</file>