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Style w:val="crumbsitem--last"/>
          <w:rFonts w:ascii="Times New Roman" w:hAnsi="Times New Roman" w:cs="Times New Roman"/>
          <w:sz w:val="28"/>
          <w:szCs w:val="28"/>
        </w:rPr>
        <w:t>проект приказа Инспекции "О внесении изменений в Административный регламент предоставления государственной услуги по выдаче застройщику заключения о соответствии застройщика и проектной декларации требованиям, установленным частями 1</w:t>
      </w:r>
      <w:r>
        <w:rPr>
          <w:rStyle w:val="crumbsitem--last"/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Style w:val="crumbsitem--last"/>
          <w:rFonts w:ascii="Times New Roman" w:hAnsi="Times New Roman" w:cs="Times New Roman"/>
          <w:sz w:val="28"/>
          <w:szCs w:val="28"/>
        </w:rPr>
        <w:t xml:space="preserve"> и 2 статьи 3, статьями 3</w:t>
      </w:r>
      <w:r>
        <w:rPr>
          <w:rStyle w:val="crumbsitem--last"/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Style w:val="crumbsitem--last"/>
          <w:rFonts w:ascii="Times New Roman" w:hAnsi="Times New Roman" w:cs="Times New Roman"/>
          <w:sz w:val="28"/>
          <w:szCs w:val="28"/>
        </w:rPr>
        <w:t xml:space="preserve">, 20 и 21 Федерального закона от 30 декабря 2004 года  </w:t>
      </w:r>
      <w:bookmarkStart w:id="0" w:name="_GoBack"/>
      <w:bookmarkEnd w:id="0"/>
      <w:r>
        <w:rPr>
          <w:rStyle w:val="crumbsitem--last"/>
          <w:rFonts w:ascii="Times New Roman" w:hAnsi="Times New Roman" w:cs="Times New Roman"/>
          <w:sz w:val="28"/>
          <w:szCs w:val="28"/>
        </w:rPr>
        <w:t xml:space="preserve">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утвержденный приказом Инспекции государственного строительного надзора Республики Татарстан от 17.10.2019 № 112" </w:t>
      </w: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2021-07-21T08:55:00Z</dcterms:created>
  <dcterms:modified xsi:type="dcterms:W3CDTF">2021-07-21T08:56:00Z</dcterms:modified>
</cp:coreProperties>
</file>