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D6003" w:rsidRPr="008953B0">
        <w:rPr>
          <w:rFonts w:ascii="Times New Roman" w:hAnsi="Times New Roman"/>
          <w:sz w:val="28"/>
          <w:szCs w:val="28"/>
          <w:shd w:val="clear" w:color="auto" w:fill="FFFFFF"/>
        </w:rPr>
        <w:t xml:space="preserve">Кабинета Министров Республики Татарстан </w:t>
      </w:r>
      <w:r w:rsidR="001D600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D6003" w:rsidRPr="008953B0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Положения о коллегии Государственного комитета Республики Татарстан по тарифам, ее состава и признании </w:t>
      </w:r>
      <w:proofErr w:type="gramStart"/>
      <w:r w:rsidR="001D6003" w:rsidRPr="008953B0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1D6003" w:rsidRPr="008953B0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Кабинета Министров Республики Татарстан</w:t>
      </w:r>
      <w:r w:rsidR="001D600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736"/>
        <w:gridCol w:w="3666"/>
        <w:gridCol w:w="1776"/>
        <w:gridCol w:w="1397"/>
      </w:tblGrid>
      <w:tr w:rsidR="0073269C" w:rsidRPr="00825E8C" w:rsidTr="00BC5EB6">
        <w:tc>
          <w:tcPr>
            <w:tcW w:w="10208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C5EB6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66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C5EB6">
        <w:tc>
          <w:tcPr>
            <w:tcW w:w="633" w:type="dxa"/>
          </w:tcPr>
          <w:p w:rsidR="0073269C" w:rsidRPr="00825E8C" w:rsidRDefault="00B447D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36" w:type="dxa"/>
          </w:tcPr>
          <w:p w:rsidR="0073269C" w:rsidRPr="00BC5EB6" w:rsidRDefault="0062272A" w:rsidP="00B447D4">
            <w:pPr>
              <w:pStyle w:val="pt-a"/>
              <w:spacing w:before="0" w:beforeAutospacing="0" w:after="0" w:afterAutospacing="0"/>
              <w:jc w:val="both"/>
            </w:pPr>
            <w:proofErr w:type="spellStart"/>
            <w:r w:rsidRPr="00BC5EB6">
              <w:t>Гибатдинов</w:t>
            </w:r>
            <w:proofErr w:type="spellEnd"/>
            <w:r w:rsidRPr="00BC5EB6">
              <w:t xml:space="preserve"> </w:t>
            </w:r>
            <w:proofErr w:type="spellStart"/>
            <w:r w:rsidRPr="00BC5EB6">
              <w:t>Рамис</w:t>
            </w:r>
            <w:proofErr w:type="spellEnd"/>
            <w:r w:rsidRPr="00BC5EB6">
              <w:t xml:space="preserve"> </w:t>
            </w:r>
            <w:proofErr w:type="spellStart"/>
            <w:r w:rsidRPr="00BC5EB6">
              <w:t>Минивагизович</w:t>
            </w:r>
            <w:proofErr w:type="spellEnd"/>
            <w:r w:rsidR="00BC5EB6">
              <w:t xml:space="preserve">, аккредитованный </w:t>
            </w:r>
            <w:r w:rsidRPr="00BC5EB6">
              <w:t xml:space="preserve"> </w:t>
            </w:r>
          </w:p>
          <w:p w:rsidR="0062272A" w:rsidRPr="00BC5EB6" w:rsidRDefault="00BC5EB6" w:rsidP="00BC5EB6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р</w:t>
            </w:r>
            <w:r w:rsidR="0062272A" w:rsidRPr="00BC5EB6">
              <w:t>аспоряжение</w:t>
            </w:r>
            <w:r>
              <w:t>м</w:t>
            </w:r>
            <w:r w:rsidR="0062272A" w:rsidRPr="00BC5EB6">
              <w:t xml:space="preserve"> М</w:t>
            </w:r>
            <w:r>
              <w:t xml:space="preserve">инистерства </w:t>
            </w:r>
            <w:r w:rsidR="0062272A" w:rsidRPr="00BC5EB6">
              <w:t>Ю</w:t>
            </w:r>
            <w:r>
              <w:t xml:space="preserve">стиции </w:t>
            </w:r>
            <w:r w:rsidR="0062272A" w:rsidRPr="00BC5EB6">
              <w:t xml:space="preserve"> Р</w:t>
            </w:r>
            <w:r>
              <w:t xml:space="preserve">оссийской </w:t>
            </w:r>
            <w:r w:rsidR="0062272A" w:rsidRPr="00BC5EB6">
              <w:t>Ф</w:t>
            </w:r>
            <w:r>
              <w:t>едерации</w:t>
            </w:r>
            <w:r w:rsidR="0062272A" w:rsidRPr="00BC5EB6">
              <w:t xml:space="preserve"> от 23.06.2017 № 2754</w:t>
            </w:r>
          </w:p>
        </w:tc>
        <w:tc>
          <w:tcPr>
            <w:tcW w:w="3666" w:type="dxa"/>
          </w:tcPr>
          <w:p w:rsidR="0073269C" w:rsidRPr="00BC5EB6" w:rsidRDefault="0062272A" w:rsidP="00B447D4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 w:rsidRPr="00BC5EB6">
              <w:rPr>
                <w:color w:val="000000"/>
              </w:rPr>
              <w:t>Широта дискреционных полномочий, отсутствие или неполнота административных процедур, нормативные коллизии. Злоупотребление правом заяв</w:t>
            </w:r>
            <w:r w:rsidR="00B447D4" w:rsidRPr="00BC5EB6">
              <w:rPr>
                <w:color w:val="000000"/>
              </w:rPr>
              <w:t xml:space="preserve">ителя государственными органами, органами местного самоуправления, организациями, их должностными лицами (подпункты «а», «ж», «и» пункта 3, подпункта «б» пункта 4 Методики проведения антикоррупционной экспертизы нормативных правовых актов </w:t>
            </w:r>
            <w:r w:rsidR="00CD138F" w:rsidRPr="00BC5EB6">
              <w:rPr>
                <w:color w:val="000000"/>
              </w:rPr>
              <w:t>и проектов нормативных правовых актов, утвержденного постановлением Правительства Российской Федерации от 26.02.2010 № 96)</w:t>
            </w:r>
            <w:r w:rsidR="00BC5EB6">
              <w:rPr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3173" w:type="dxa"/>
            <w:gridSpan w:val="2"/>
          </w:tcPr>
          <w:p w:rsidR="00CD138F" w:rsidRPr="00BC5EB6" w:rsidRDefault="00CD138F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3269C" w:rsidRPr="00BC5EB6" w:rsidRDefault="00CD138F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5EB6">
              <w:rPr>
                <w:color w:val="000000"/>
              </w:rPr>
              <w:t>Находится на рассмотрении</w:t>
            </w:r>
          </w:p>
        </w:tc>
      </w:tr>
      <w:tr w:rsidR="0073269C" w:rsidRPr="00825E8C" w:rsidTr="00BC5EB6">
        <w:tc>
          <w:tcPr>
            <w:tcW w:w="10208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C5EB6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66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C5EB6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66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C5EB6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66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C5EB6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66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C5EB6">
        <w:tc>
          <w:tcPr>
            <w:tcW w:w="881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C5EB6">
        <w:tc>
          <w:tcPr>
            <w:tcW w:w="881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C5EB6">
        <w:tc>
          <w:tcPr>
            <w:tcW w:w="881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C5EB6">
        <w:tc>
          <w:tcPr>
            <w:tcW w:w="881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72A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447D4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C5EB6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138F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322</cp:revision>
  <cp:lastPrinted>2021-06-03T08:18:00Z</cp:lastPrinted>
  <dcterms:created xsi:type="dcterms:W3CDTF">2018-09-24T14:03:00Z</dcterms:created>
  <dcterms:modified xsi:type="dcterms:W3CDTF">2021-06-03T08:31:00Z</dcterms:modified>
</cp:coreProperties>
</file>