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27A2B">
        <w:rPr>
          <w:rStyle w:val="pt-a0"/>
          <w:b/>
          <w:bCs/>
          <w:color w:val="000000"/>
          <w:sz w:val="28"/>
          <w:szCs w:val="28"/>
        </w:rPr>
        <w:t>5/</w:t>
      </w:r>
      <w:r w:rsidR="003B1FB6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7613D4" w:rsidRDefault="007613D4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13D4">
        <w:rPr>
          <w:color w:val="000000"/>
          <w:sz w:val="28"/>
          <w:szCs w:val="28"/>
        </w:rPr>
        <w:t>О признании утратившим силу постановление Кабинета Министров Республики Татарстан от 20.12.2018 № 1185 «Об утверждении Порядка оказания государственной поддержки садоводческим, огородническим и дачным некоммерческим объединениям граждан  путем предоставления из бюджета Республики Татарстан субсидий на возмещение части затрат, связанных с ремонтом объектов внутренней инженерной инфраструктуры на их территории»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27A2B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1FB6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562A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3D4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6E54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2021-05-27T08:44:00Z</dcterms:created>
  <dcterms:modified xsi:type="dcterms:W3CDTF">2021-05-27T08:44:00Z</dcterms:modified>
</cp:coreProperties>
</file>