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</w:t>
      </w:r>
      <w:r w:rsidR="000D0FC3" w:rsidRPr="000D0FC3">
        <w:rPr>
          <w:rStyle w:val="pt-a0"/>
          <w:bCs/>
          <w:color w:val="000000"/>
          <w:sz w:val="28"/>
          <w:szCs w:val="28"/>
        </w:rPr>
        <w:t>Об утверждении норм допустимой добычи охотничьих ресурсов в охотничьих угодьях на территории Республики Татарстан на период по 28 февраля 2022 года</w:t>
      </w:r>
      <w:bookmarkStart w:id="0" w:name="_GoBack"/>
      <w:bookmarkEnd w:id="0"/>
      <w:r w:rsidR="0019711F" w:rsidRPr="0019711F">
        <w:rPr>
          <w:rStyle w:val="pt-a0"/>
          <w:bCs/>
          <w:color w:val="000000"/>
          <w:sz w:val="28"/>
          <w:szCs w:val="28"/>
        </w:rPr>
        <w:t>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4269"/>
    <w:rsid w:val="00DE44D4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2021-05-11T08:09:00Z</dcterms:created>
  <dcterms:modified xsi:type="dcterms:W3CDTF">2021-05-11T08:09:00Z</dcterms:modified>
</cp:coreProperties>
</file>