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</w:t>
      </w:r>
      <w:r w:rsidR="005A0190" w:rsidRPr="005A0190">
        <w:rPr>
          <w:rStyle w:val="pt-a0"/>
          <w:bCs/>
          <w:color w:val="000000"/>
          <w:sz w:val="28"/>
          <w:szCs w:val="28"/>
        </w:rPr>
        <w:t>«О создании охранной зоны памятника природы регионального значения «Урочище «Русско-немецкая Швейцария» на территории муниципального образования г.</w:t>
      </w:r>
      <w:r w:rsidR="005A0190">
        <w:rPr>
          <w:rStyle w:val="pt-a0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5A0190" w:rsidRPr="005A0190">
        <w:rPr>
          <w:rStyle w:val="pt-a0"/>
          <w:bCs/>
          <w:color w:val="000000"/>
          <w:sz w:val="28"/>
          <w:szCs w:val="28"/>
        </w:rPr>
        <w:t>Казани»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A0190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2021-02-25T10:27:00Z</dcterms:created>
  <dcterms:modified xsi:type="dcterms:W3CDTF">2021-02-25T10:27:00Z</dcterms:modified>
</cp:coreProperties>
</file>