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62161C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2161C">
        <w:rPr>
          <w:sz w:val="28"/>
          <w:szCs w:val="28"/>
        </w:rPr>
        <w:t>приказа Министерства финансов Республики Татарстан «О внесении изменений в приказ Министерства финансов Республики Татарстан от 09.01.2020 № 02-1 «О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2020 году»</w:t>
      </w:r>
    </w:p>
    <w:p w:rsidR="0062161C" w:rsidRPr="004260F7" w:rsidRDefault="0062161C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B7" w:rsidRDefault="001B0EB7">
      <w:r>
        <w:separator/>
      </w:r>
    </w:p>
  </w:endnote>
  <w:endnote w:type="continuationSeparator" w:id="0">
    <w:p w:rsidR="001B0EB7" w:rsidRDefault="001B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B7" w:rsidRDefault="001B0EB7">
      <w:r>
        <w:separator/>
      </w:r>
    </w:p>
  </w:footnote>
  <w:footnote w:type="continuationSeparator" w:id="0">
    <w:p w:rsidR="001B0EB7" w:rsidRDefault="001B0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B0EB7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161C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6543A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3C46A-D8CC-4C68-B376-4F27B38E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2021-01-13T08:22:00Z</dcterms:created>
  <dcterms:modified xsi:type="dcterms:W3CDTF">2021-01-13T08:22:00Z</dcterms:modified>
</cp:coreProperties>
</file>