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6D27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9528F" w:rsidRDefault="00E427A0" w:rsidP="0079528F">
      <w:pPr>
        <w:jc w:val="center"/>
        <w:textAlignment w:val="top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DC764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51456F" w:rsidRPr="00DC2FA4">
        <w:rPr>
          <w:sz w:val="28"/>
          <w:szCs w:val="28"/>
        </w:rPr>
        <w:t xml:space="preserve"> проект</w:t>
      </w:r>
      <w:r w:rsidR="0051456F">
        <w:rPr>
          <w:sz w:val="28"/>
          <w:szCs w:val="28"/>
        </w:rPr>
        <w:t>а</w:t>
      </w:r>
      <w:r w:rsidR="0051456F" w:rsidRPr="00DC2FA4">
        <w:rPr>
          <w:sz w:val="28"/>
          <w:szCs w:val="28"/>
        </w:rPr>
        <w:t xml:space="preserve"> постановления Кабинета Министров Республики Татарстан о внесении изменений в постановление Кабинета Министров Республики Татарстан от 05.06.2015 № 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51456F">
        <w:rPr>
          <w:sz w:val="28"/>
          <w:szCs w:val="28"/>
        </w:rPr>
        <w:t xml:space="preserve"> </w:t>
      </w:r>
      <w:r w:rsidR="0051456F" w:rsidRPr="00DC2FA4">
        <w:rPr>
          <w:sz w:val="28"/>
          <w:szCs w:val="28"/>
        </w:rPr>
        <w:t>(далее – Постановление № 416)</w:t>
      </w:r>
    </w:p>
    <w:p w:rsidR="00F72AB7" w:rsidRDefault="00F72AB7" w:rsidP="0079528F">
      <w:pPr>
        <w:jc w:val="center"/>
        <w:textAlignment w:val="top"/>
        <w:rPr>
          <w:sz w:val="28"/>
          <w:szCs w:val="28"/>
        </w:rPr>
      </w:pPr>
    </w:p>
    <w:p w:rsidR="00E427A0" w:rsidRDefault="0079528F" w:rsidP="0079528F">
      <w:pPr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1456F" w:rsidRPr="00DC2FA4">
        <w:rPr>
          <w:sz w:val="28"/>
          <w:szCs w:val="28"/>
        </w:rPr>
        <w:t xml:space="preserve">Постановление № </w:t>
      </w:r>
      <w:proofErr w:type="gramStart"/>
      <w:r w:rsidR="0051456F" w:rsidRPr="00DC2FA4">
        <w:rPr>
          <w:sz w:val="28"/>
          <w:szCs w:val="28"/>
        </w:rPr>
        <w:t>416</w:t>
      </w:r>
      <w:r w:rsidR="00514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по</w:t>
      </w:r>
      <w:proofErr w:type="gramEnd"/>
      <w:r w:rsidR="00E427A0" w:rsidRPr="009E7C74">
        <w:rPr>
          <w:sz w:val="28"/>
          <w:szCs w:val="28"/>
        </w:rPr>
        <w:t xml:space="preserve"> результатам проведения независимо</w:t>
      </w:r>
      <w:r>
        <w:rPr>
          <w:sz w:val="28"/>
          <w:szCs w:val="28"/>
        </w:rPr>
        <w:t>й антикоррупционной экспертизы поступило  экспертное заключение</w:t>
      </w:r>
      <w:r w:rsidR="0051456F">
        <w:rPr>
          <w:sz w:val="28"/>
          <w:szCs w:val="28"/>
        </w:rPr>
        <w:t xml:space="preserve"> </w:t>
      </w:r>
      <w:proofErr w:type="spellStart"/>
      <w:r w:rsidR="0051456F">
        <w:rPr>
          <w:sz w:val="28"/>
          <w:szCs w:val="28"/>
        </w:rPr>
        <w:t>Шахидуллина</w:t>
      </w:r>
      <w:proofErr w:type="spellEnd"/>
      <w:r w:rsidR="0051456F">
        <w:rPr>
          <w:sz w:val="28"/>
          <w:szCs w:val="28"/>
        </w:rPr>
        <w:t xml:space="preserve"> А.Р.</w:t>
      </w:r>
      <w:r>
        <w:rPr>
          <w:sz w:val="28"/>
          <w:szCs w:val="28"/>
        </w:rPr>
        <w:t>, аккредитованного распоряжением Министерства юс</w:t>
      </w:r>
      <w:r w:rsidR="0051456F">
        <w:rPr>
          <w:sz w:val="28"/>
          <w:szCs w:val="28"/>
        </w:rPr>
        <w:t>тиции Российской Федерации от 22.06.2016 № 906-Р</w:t>
      </w:r>
      <w:r w:rsidR="00F72AB7">
        <w:rPr>
          <w:sz w:val="28"/>
          <w:szCs w:val="28"/>
        </w:rPr>
        <w:t xml:space="preserve">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</w:r>
      <w:r w:rsidR="00E427A0" w:rsidRPr="009E7C74">
        <w:rPr>
          <w:sz w:val="28"/>
          <w:szCs w:val="28"/>
        </w:rPr>
        <w:t>.</w:t>
      </w:r>
    </w:p>
    <w:p w:rsidR="0079528F" w:rsidRDefault="0079528F" w:rsidP="0079528F">
      <w:pPr>
        <w:spacing w:line="29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Минземимущество Республики Татарстан, рассмотрев представленное экспертное заключение на </w:t>
      </w:r>
      <w:r w:rsidR="0051456F" w:rsidRPr="00DC2FA4">
        <w:rPr>
          <w:sz w:val="28"/>
          <w:szCs w:val="28"/>
        </w:rPr>
        <w:t>Постановление № 416</w:t>
      </w:r>
      <w:r>
        <w:rPr>
          <w:sz w:val="28"/>
          <w:szCs w:val="28"/>
        </w:rPr>
        <w:t>, сообщает следующее.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DC2FA4">
        <w:rPr>
          <w:b/>
          <w:sz w:val="28"/>
          <w:szCs w:val="28"/>
        </w:rPr>
        <w:t>По пункту 1.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Согласно п.3 ст.39.36 Земельного кодекса Российской Федерации (далее – ЗК РФ) порядок и условия размещения указанных объектов устанавливаются нормативным правовым актом субъекта Российской Федерации.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Так, на территории Республики Татарстан порядок и условия размещения объектов, виды которых определены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Постановление № 1300), установлены Постановлением № 416.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Следует отметить, что Постановлением № 1300 не предусмотрено размещение объектов благоустройства, являющихся средствами наружной рекламы, размещение которых осуществляется в соответствии с Федеральным законом от 13.03.2006 № 38-ФЗ «О рекламе», а также средств наружной информации, установка которых осуществляется в соответствии с муниципальными правовыми актами.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В связи с этим, Постановление № 416 не распространяет действия в отношении указанных объектов.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В соответствии с п.38 ст.1 Градостроительного кодекса Российской Федерации (далее – </w:t>
      </w:r>
      <w:proofErr w:type="spellStart"/>
      <w:r w:rsidRPr="00DC2FA4">
        <w:rPr>
          <w:sz w:val="28"/>
          <w:szCs w:val="28"/>
        </w:rPr>
        <w:t>ГрК</w:t>
      </w:r>
      <w:proofErr w:type="spellEnd"/>
      <w:r w:rsidRPr="00DC2FA4">
        <w:rPr>
          <w:sz w:val="28"/>
          <w:szCs w:val="28"/>
        </w:rPr>
        <w:t xml:space="preserve"> РФ) элементы благоустройства - декоративные, технические, </w:t>
      </w:r>
      <w:r w:rsidRPr="00DC2FA4">
        <w:rPr>
          <w:sz w:val="28"/>
          <w:szCs w:val="28"/>
        </w:rPr>
        <w:lastRenderedPageBreak/>
        <w:t>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Средства наружной информации к элементам благоустройства, применяемые как составные части благоустройства территории, согласно </w:t>
      </w:r>
      <w:proofErr w:type="spellStart"/>
      <w:r w:rsidRPr="00DC2FA4">
        <w:rPr>
          <w:sz w:val="28"/>
          <w:szCs w:val="28"/>
        </w:rPr>
        <w:t>ГрК</w:t>
      </w:r>
      <w:proofErr w:type="spellEnd"/>
      <w:r w:rsidRPr="00DC2FA4">
        <w:rPr>
          <w:sz w:val="28"/>
          <w:szCs w:val="28"/>
        </w:rPr>
        <w:t> РФ не относ</w:t>
      </w:r>
      <w:r>
        <w:rPr>
          <w:sz w:val="28"/>
          <w:szCs w:val="28"/>
        </w:rPr>
        <w:t>я</w:t>
      </w:r>
      <w:r w:rsidRPr="00DC2FA4">
        <w:rPr>
          <w:sz w:val="28"/>
          <w:szCs w:val="28"/>
        </w:rPr>
        <w:t>тся.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Установка средств наружной информации осуществляется в соответствии с муниципальными правовыми актами исходя из полномочий органов местного самоуправления, а именно Правилами благоустройства города Казани, утвержденными решением Казанской городской Думы от 18.10.2006 № 4-12 (далее – Правила благоустройства </w:t>
      </w:r>
      <w:proofErr w:type="spellStart"/>
      <w:r w:rsidRPr="00DC2FA4">
        <w:rPr>
          <w:sz w:val="28"/>
          <w:szCs w:val="28"/>
        </w:rPr>
        <w:t>г.Казани</w:t>
      </w:r>
      <w:proofErr w:type="spellEnd"/>
      <w:r w:rsidRPr="00DC2FA4">
        <w:rPr>
          <w:sz w:val="28"/>
          <w:szCs w:val="28"/>
        </w:rPr>
        <w:t xml:space="preserve">), которые во исполнение </w:t>
      </w:r>
      <w:r>
        <w:rPr>
          <w:sz w:val="28"/>
          <w:szCs w:val="28"/>
        </w:rPr>
        <w:t>З</w:t>
      </w:r>
      <w:r w:rsidRPr="00DC2FA4">
        <w:rPr>
          <w:sz w:val="28"/>
          <w:szCs w:val="28"/>
        </w:rPr>
        <w:t>акона Российской Федерации от 07.02.1992 № 2300-1 «О защите прав потребителей» регулиру</w:t>
      </w:r>
      <w:r>
        <w:rPr>
          <w:sz w:val="28"/>
          <w:szCs w:val="28"/>
        </w:rPr>
        <w:t>ю</w:t>
      </w:r>
      <w:r w:rsidRPr="00DC2FA4">
        <w:rPr>
          <w:sz w:val="28"/>
          <w:szCs w:val="28"/>
        </w:rPr>
        <w:t xml:space="preserve">т размещение обязательной информации в пределах занимаемой территории, в </w:t>
      </w:r>
      <w:r>
        <w:rPr>
          <w:sz w:val="28"/>
          <w:szCs w:val="28"/>
        </w:rPr>
        <w:t>то время как</w:t>
      </w:r>
      <w:r w:rsidRPr="00DC2FA4">
        <w:rPr>
          <w:sz w:val="28"/>
          <w:szCs w:val="28"/>
        </w:rPr>
        <w:t xml:space="preserve"> размещение каких-либо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т.е. за пределами занимаемой территории</w:t>
      </w:r>
      <w:r>
        <w:rPr>
          <w:sz w:val="28"/>
          <w:szCs w:val="28"/>
        </w:rPr>
        <w:t>, не регулируют</w:t>
      </w:r>
      <w:r w:rsidRPr="00DC2FA4">
        <w:rPr>
          <w:sz w:val="28"/>
          <w:szCs w:val="28"/>
        </w:rPr>
        <w:t>.</w:t>
      </w:r>
    </w:p>
    <w:p w:rsidR="0051456F" w:rsidRPr="00DC2FA4" w:rsidRDefault="0051456F" w:rsidP="0051456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Следует отметить, что Конституция Российской Федерации и федеральные законы имеют верховенство на всей территории Российской Федерации в соответствии с п.2 ст.4 Конституции Российской Федерации.</w:t>
      </w:r>
    </w:p>
    <w:p w:rsidR="0051456F" w:rsidRPr="00DC2FA4" w:rsidRDefault="0051456F" w:rsidP="0051456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В связи с вышеизложенным, поскольку в соответствии с </w:t>
      </w:r>
      <w:proofErr w:type="spellStart"/>
      <w:r w:rsidRPr="00DC2FA4">
        <w:rPr>
          <w:sz w:val="28"/>
          <w:szCs w:val="28"/>
        </w:rPr>
        <w:t>ГрК</w:t>
      </w:r>
      <w:proofErr w:type="spellEnd"/>
      <w:r w:rsidRPr="00DC2FA4">
        <w:rPr>
          <w:sz w:val="28"/>
          <w:szCs w:val="28"/>
        </w:rPr>
        <w:t xml:space="preserve"> РФ средства наружной информации не относятся к элементам благоустройства территории исключение из проекта постановления абзаца второго пункта 1 формулировки «а также на средства наружной информации, установка которых осуществляется в соответствии с муниципальными правовыми актами.» считаем нецелесообразным.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DC2FA4">
        <w:rPr>
          <w:b/>
          <w:sz w:val="28"/>
          <w:szCs w:val="28"/>
        </w:rPr>
        <w:t>По пункту 2.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DC2FA4"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(далее - Федеральный закон № 131-ФЗ) утверждение правил благоустройства территории муниципального, городского округа, осуществление контроля за их соблюдением, организация благоустройства территории муниципального, городского округа в соответствии с указанными правилами (далее – Правила благоустройства) отнесены к вопросам местного значения.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lastRenderedPageBreak/>
        <w:t xml:space="preserve">Правила благоустройства муниципальных образований, городского округа действуют на всей территории таких образований, обязательны для исполнения всеми физическими и юридическими лицами независимо от их организационно-правовой формы.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bCs/>
          <w:sz w:val="28"/>
          <w:szCs w:val="28"/>
        </w:rPr>
        <w:t xml:space="preserve">К вопросам, регулируемым Правилами благоустройства, относятся вопросы </w:t>
      </w:r>
      <w:r w:rsidRPr="00DC2FA4">
        <w:rPr>
          <w:sz w:val="28"/>
          <w:szCs w:val="28"/>
        </w:rPr>
        <w:t>внешнего вида фасадов и ограждающих конструкций зданий, строений, сооружений, размещения информации на территории муниципального образования, в том числе установки указателей с наименованиями улиц и номерами домов, вывесок, осуществления контроля за соблюдением правил благоустройства территории муниципального образования (</w:t>
      </w:r>
      <w:proofErr w:type="spellStart"/>
      <w:r w:rsidRPr="00DC2FA4">
        <w:rPr>
          <w:sz w:val="28"/>
          <w:szCs w:val="28"/>
        </w:rPr>
        <w:t>пп</w:t>
      </w:r>
      <w:proofErr w:type="spellEnd"/>
      <w:r w:rsidRPr="00DC2FA4">
        <w:rPr>
          <w:sz w:val="28"/>
          <w:szCs w:val="28"/>
        </w:rPr>
        <w:t xml:space="preserve">. 2, 6, 17 п.2 ст.45.1 </w:t>
      </w:r>
      <w:r w:rsidRPr="00DC2FA4">
        <w:rPr>
          <w:bCs/>
          <w:sz w:val="28"/>
          <w:szCs w:val="28"/>
        </w:rPr>
        <w:t>Федерального закона № 131-ФЗ).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Правила благоустройства не противоречат и не подменяют полномочия субъекта Российской Федерации по определению порядка и условий размещения объектов, утвержденных Постановлением № 416.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Формулировка «осуществляется с учетом требований правил благоустройства муниципальных образований» является одним из условий размещения таких объектов, устанавливаемых в целях формирования благоприятной художественно-эстетической городской среды с учетом необходимости сохранения внешнего архитектурного облика сложившейся застройки уполномоченным органом субъекта Республики Татарстан.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Преимущественных требований к размещению флагштоков действующим законодательством не предусмотрено.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В связи с вышеизложенным, исключение формулировки «осуществляется с учетом требований правил благоустройства муниципальных образований» считаем нецелесообразным.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DC2FA4">
        <w:rPr>
          <w:b/>
          <w:sz w:val="28"/>
          <w:szCs w:val="28"/>
        </w:rPr>
        <w:t>По пункту 3.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В соответствии с п.3 ст.39.36 ЗК РФ порядок и условия размещения указанных объектов устанавливаются нормативным правовым актом субъекта Российской Федерации.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Во исполнения указанных полномочий Кабинет Министров Республики Татарстан как уполномоченный орган вправе устанавливать необходимый на территории Республики Татарстан перечень документов в целях выдачи разрешения на размещение объектов, перечень которых предусмотрен Постановлением № 1300.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Постановление № 1300 не определяет условия размещения объектов, а ли</w:t>
      </w:r>
      <w:r>
        <w:rPr>
          <w:sz w:val="28"/>
          <w:szCs w:val="28"/>
        </w:rPr>
        <w:t>шь устанавливает их перечень, вследствие</w:t>
      </w:r>
      <w:r w:rsidRPr="00DC2FA4">
        <w:rPr>
          <w:sz w:val="28"/>
          <w:szCs w:val="28"/>
        </w:rPr>
        <w:t xml:space="preserve"> чего, содержать каки</w:t>
      </w:r>
      <w:r>
        <w:rPr>
          <w:sz w:val="28"/>
          <w:szCs w:val="28"/>
        </w:rPr>
        <w:t>е</w:t>
      </w:r>
      <w:r w:rsidRPr="00DC2FA4">
        <w:rPr>
          <w:sz w:val="28"/>
          <w:szCs w:val="28"/>
        </w:rPr>
        <w:t>-либо требования к их размещению не может, отведя данные полномочия субъектам Российской Федерации.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lastRenderedPageBreak/>
        <w:t>Разработка административных регламентов – документов, регулирующих процедуру предоставления услуги без принятия нормативного правового акта (основания оказания услуги), невозможна.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Таким образом, считаем, что данная рекомендация является нецелесообразной, </w:t>
      </w:r>
      <w:proofErr w:type="spellStart"/>
      <w:r w:rsidRPr="00DC2FA4">
        <w:rPr>
          <w:sz w:val="28"/>
          <w:szCs w:val="28"/>
        </w:rPr>
        <w:t>коррупциогенные</w:t>
      </w:r>
      <w:proofErr w:type="spellEnd"/>
      <w:r w:rsidRPr="00DC2FA4">
        <w:rPr>
          <w:sz w:val="28"/>
          <w:szCs w:val="28"/>
        </w:rPr>
        <w:t xml:space="preserve"> факторы отсутствуют.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DC2FA4">
        <w:rPr>
          <w:b/>
          <w:sz w:val="28"/>
          <w:szCs w:val="28"/>
        </w:rPr>
        <w:t>По пункту 4.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Включение в пункт</w:t>
      </w:r>
      <w:r>
        <w:rPr>
          <w:sz w:val="28"/>
          <w:szCs w:val="28"/>
        </w:rPr>
        <w:t xml:space="preserve"> 9 подпункта «г)</w:t>
      </w:r>
      <w:r w:rsidRPr="00FB12F1">
        <w:t xml:space="preserve"> </w:t>
      </w:r>
      <w:r w:rsidRPr="00FB12F1">
        <w:rPr>
          <w:sz w:val="28"/>
          <w:szCs w:val="28"/>
        </w:rPr>
        <w:t>согласие лица, чьи права и интересы могут быть затронуты - в случае нахождения на земельном участке инженерных коммуникаций</w:t>
      </w:r>
      <w:r>
        <w:rPr>
          <w:sz w:val="28"/>
          <w:szCs w:val="28"/>
        </w:rPr>
        <w:t>», в пункт</w:t>
      </w:r>
      <w:r w:rsidRPr="00DC2FA4">
        <w:rPr>
          <w:sz w:val="28"/>
          <w:szCs w:val="28"/>
        </w:rPr>
        <w:t xml:space="preserve"> 14 подпункта «з) размещение объекта не согласовано лицом, чьи права и интересы могут быть затронуты» необходимо в целях обеспечения безопасности инженерных коммуникаций (газопроводов, канализаций, линий электропередач и тому подобных объектов)</w:t>
      </w:r>
      <w:r>
        <w:rPr>
          <w:sz w:val="28"/>
          <w:szCs w:val="28"/>
        </w:rPr>
        <w:t>»</w:t>
      </w:r>
      <w:r w:rsidRPr="00DC2FA4">
        <w:rPr>
          <w:sz w:val="28"/>
          <w:szCs w:val="28"/>
        </w:rPr>
        <w:t>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К примеру, при рассмотрении обращений на размещение объектов выявляются случаи прохождения по территории, в границах которой планируется размещение объекта в соответствии с Постановлением № 1300, инженерных коммуникаций. В связи с этим, в случае выдачи разрешения на размещение объекта могут быть нарушены права лиц, использующих инженерные коммуникации.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Вместе с тем направление запроса в адрес эксплуатирующей организации увеличивает сроки предоставления услуг, что может привести к нарушениям сроков выдачи разрешений на размещение объектов.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Включение вышеуказанн</w:t>
      </w:r>
      <w:r>
        <w:rPr>
          <w:sz w:val="28"/>
          <w:szCs w:val="28"/>
        </w:rPr>
        <w:t>ых пунктов</w:t>
      </w:r>
      <w:r w:rsidRPr="00DC2FA4">
        <w:rPr>
          <w:sz w:val="28"/>
          <w:szCs w:val="28"/>
        </w:rPr>
        <w:t xml:space="preserve"> в Постановление № 416 позволит уполномоченным органам соблюдать сроки оказания услуги и не </w:t>
      </w:r>
      <w:r>
        <w:rPr>
          <w:sz w:val="28"/>
          <w:szCs w:val="28"/>
        </w:rPr>
        <w:t>допускать</w:t>
      </w:r>
      <w:r w:rsidRPr="00DC2FA4">
        <w:rPr>
          <w:sz w:val="28"/>
          <w:szCs w:val="28"/>
        </w:rPr>
        <w:t xml:space="preserve"> возникновени</w:t>
      </w:r>
      <w:r>
        <w:rPr>
          <w:sz w:val="28"/>
          <w:szCs w:val="28"/>
        </w:rPr>
        <w:t>я</w:t>
      </w:r>
      <w:r w:rsidRPr="00DC2FA4">
        <w:rPr>
          <w:sz w:val="28"/>
          <w:szCs w:val="28"/>
        </w:rPr>
        <w:t xml:space="preserve"> спорных ситуаций с эксплуатирующими организациями.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DC2FA4">
        <w:rPr>
          <w:b/>
          <w:sz w:val="28"/>
          <w:szCs w:val="28"/>
        </w:rPr>
        <w:t>По пункту 5.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Подпункт «ж) вид размещаемого объекта не соответствует фактическому использованию земельного участка» пункта 14 предусматривает отказ в выдаче разрешения на размещение объекта, в случае если фактическое использование испрашиваемого заявителем земельного участка не соответствует виду объекта, указанному в заявлении.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Указанное основание не предусматривает отказ в связи с расхождением вида разрешённого использования земельного участка и размещаемого на нем объекта.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 xml:space="preserve">КЗИО представлен ряд таких случаев, возникших на практике. Так, например, заявители, выбрав вид объекта «благоустройство территории», пытаются узаконить участки, огороженные путем </w:t>
      </w:r>
      <w:proofErr w:type="spellStart"/>
      <w:r w:rsidRPr="00DC2FA4">
        <w:rPr>
          <w:sz w:val="28"/>
          <w:szCs w:val="28"/>
        </w:rPr>
        <w:t>самозахвата</w:t>
      </w:r>
      <w:proofErr w:type="spellEnd"/>
      <w:r w:rsidRPr="00DC2FA4">
        <w:rPr>
          <w:sz w:val="28"/>
          <w:szCs w:val="28"/>
        </w:rPr>
        <w:t xml:space="preserve"> капитальными заборами либо территории, на которых расположены хозяйственные постройки и иные объекты (строения). </w:t>
      </w:r>
      <w:r w:rsidRPr="00DC2FA4">
        <w:rPr>
          <w:sz w:val="28"/>
          <w:szCs w:val="28"/>
        </w:rPr>
        <w:lastRenderedPageBreak/>
        <w:t xml:space="preserve">Также одним из примеров является случай, когда земельный участок запрашивается для целей организации проезда и подъездных путей, а по результатам анализа выявляется, что запрашиваемая территория огорожена, доступ к ней отсутствует, фактически используется как дворовая территория жилого дома либо офисного здания. 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  <w:r w:rsidRPr="00DC2FA4">
        <w:rPr>
          <w:sz w:val="28"/>
          <w:szCs w:val="28"/>
        </w:rPr>
        <w:t>Включение указанного пункта позволит исключить возникновение нарушений при использовании земельных участков.</w:t>
      </w:r>
    </w:p>
    <w:p w:rsidR="0051456F" w:rsidRPr="00DC2FA4" w:rsidRDefault="0051456F" w:rsidP="0051456F">
      <w:pPr>
        <w:spacing w:line="312" w:lineRule="auto"/>
        <w:ind w:firstLine="709"/>
        <w:jc w:val="both"/>
        <w:rPr>
          <w:sz w:val="28"/>
          <w:szCs w:val="28"/>
        </w:rPr>
      </w:pPr>
    </w:p>
    <w:p w:rsidR="0079528F" w:rsidRDefault="0079528F" w:rsidP="0079528F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9528F" w:rsidRPr="00802B49" w:rsidRDefault="0079528F" w:rsidP="006D27A3">
      <w:pPr>
        <w:jc w:val="center"/>
        <w:textAlignment w:val="top"/>
        <w:rPr>
          <w:rFonts w:ascii="Segoe UI" w:hAnsi="Segoe UI" w:cs="Segoe UI"/>
          <w:color w:val="454545"/>
          <w:shd w:val="clear" w:color="auto" w:fill="FFFFFF"/>
        </w:rPr>
      </w:pP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1F435A"/>
    <w:rsid w:val="002A0EB7"/>
    <w:rsid w:val="003444AA"/>
    <w:rsid w:val="00392F33"/>
    <w:rsid w:val="004E3D20"/>
    <w:rsid w:val="0051456F"/>
    <w:rsid w:val="005248ED"/>
    <w:rsid w:val="00567F61"/>
    <w:rsid w:val="00571213"/>
    <w:rsid w:val="005B69EE"/>
    <w:rsid w:val="005C22AE"/>
    <w:rsid w:val="005E0253"/>
    <w:rsid w:val="006B0B4C"/>
    <w:rsid w:val="006D27A3"/>
    <w:rsid w:val="006D5688"/>
    <w:rsid w:val="0079528F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32EDA"/>
    <w:rsid w:val="00D66670"/>
    <w:rsid w:val="00DC7647"/>
    <w:rsid w:val="00DE18BB"/>
    <w:rsid w:val="00E0514A"/>
    <w:rsid w:val="00E427A0"/>
    <w:rsid w:val="00E44F17"/>
    <w:rsid w:val="00E74A9C"/>
    <w:rsid w:val="00F17DF7"/>
    <w:rsid w:val="00F65482"/>
    <w:rsid w:val="00F7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</cp:revision>
  <dcterms:created xsi:type="dcterms:W3CDTF">2020-08-10T06:37:00Z</dcterms:created>
  <dcterms:modified xsi:type="dcterms:W3CDTF">2020-09-15T07:43:00Z</dcterms:modified>
</cp:coreProperties>
</file>