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517139">
        <w:rPr>
          <w:sz w:val="28"/>
          <w:szCs w:val="28"/>
        </w:rPr>
        <w:t xml:space="preserve"> приказа</w:t>
      </w:r>
      <w:r w:rsidRPr="00080774">
        <w:rPr>
          <w:sz w:val="28"/>
          <w:szCs w:val="28"/>
        </w:rPr>
        <w:t xml:space="preserve"> </w:t>
      </w:r>
      <w:r w:rsidR="00517139" w:rsidRPr="00517139">
        <w:rPr>
          <w:sz w:val="28"/>
          <w:szCs w:val="28"/>
        </w:rPr>
        <w:t>Государственного комитета Республики Татарстан по биологическим ресурсам от 12.12.2019 № 387 "О внесении изменения в Административный регламент предоставления государственной услуги по выдаче и аннулированию охотничьего билета единого федерального образца Госкомитетом РТ по биоресурсам, утвержденный приказом Госкомитета РТ по биоресурсам от 16.05.2018 №124-од"</w:t>
      </w:r>
      <w:r w:rsidR="00517139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17139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BAEE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2019-12-28T11:40:00Z</dcterms:modified>
</cp:coreProperties>
</file>