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</w:t>
      </w:r>
      <w:r w:rsidR="00122569">
        <w:rPr>
          <w:rStyle w:val="pt-a0"/>
          <w:b/>
          <w:bCs/>
          <w:color w:val="000000"/>
          <w:sz w:val="28"/>
          <w:szCs w:val="28"/>
        </w:rPr>
        <w:t>2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107120">
        <w:rPr>
          <w:rStyle w:val="pt-a0"/>
          <w:b/>
          <w:bCs/>
          <w:color w:val="000000"/>
          <w:sz w:val="28"/>
          <w:szCs w:val="28"/>
        </w:rPr>
        <w:t>29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002015" w:rsidRDefault="0010712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07120">
        <w:rPr>
          <w:sz w:val="28"/>
          <w:szCs w:val="28"/>
        </w:rPr>
        <w:t>Об утверждении Порядка предоставления из бюджета Республики Татарстан средств на выплату премий гражданам, ведущим личное подсобное хозяйство - победителям республиканского конкурса «Лучшее личное подсобное хозяйство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120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2019-12-17T07:24:00Z</dcterms:created>
  <dcterms:modified xsi:type="dcterms:W3CDTF">2019-12-17T07:24:00Z</dcterms:modified>
</cp:coreProperties>
</file>