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3F0F15">
        <w:rPr>
          <w:rStyle w:val="pt-a0"/>
          <w:b/>
          <w:bCs/>
          <w:color w:val="000000"/>
          <w:sz w:val="28"/>
          <w:szCs w:val="28"/>
        </w:rPr>
        <w:t>6/1</w:t>
      </w:r>
      <w:r w:rsidR="007B59F8">
        <w:rPr>
          <w:rStyle w:val="pt-a0"/>
          <w:b/>
          <w:bCs/>
          <w:color w:val="000000"/>
          <w:sz w:val="28"/>
          <w:szCs w:val="28"/>
        </w:rPr>
        <w:t>3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7B59F8" w:rsidRDefault="007B59F8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B59F8">
        <w:rPr>
          <w:sz w:val="28"/>
          <w:szCs w:val="28"/>
        </w:rPr>
        <w:t>О внесении изменений в Порядок разрешения представителем нанимателя государственному гражданскому служащему Республики Татарстан в Министерстве сельского хозяйства и продовольствия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управления, утвержденный приказом Минсельхозпрода РТ от 10.07.2017 № 152/2-пр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308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5E2E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59F8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16DC5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5420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A5D6A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2019-07-22T09:42:00Z</dcterms:created>
  <dcterms:modified xsi:type="dcterms:W3CDTF">2019-07-22T09:42:00Z</dcterms:modified>
</cp:coreProperties>
</file>