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3F0F15">
        <w:rPr>
          <w:rStyle w:val="pt-a0"/>
          <w:b/>
          <w:bCs/>
          <w:color w:val="000000"/>
          <w:sz w:val="28"/>
          <w:szCs w:val="28"/>
        </w:rPr>
        <w:t>6/1</w:t>
      </w:r>
      <w:r w:rsidR="000F06D3">
        <w:rPr>
          <w:rStyle w:val="pt-a0"/>
          <w:b/>
          <w:bCs/>
          <w:color w:val="000000"/>
          <w:sz w:val="28"/>
          <w:szCs w:val="28"/>
        </w:rPr>
        <w:t>2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28240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282401">
        <w:rPr>
          <w:sz w:val="28"/>
          <w:szCs w:val="28"/>
        </w:rPr>
        <w:t xml:space="preserve">О внесении изменений в Положение об Общественном совете при Министерстве сельского хозяйства и продовольствия Республики Татарстан, утвержденное приказом от 29.12.2016  № 249/2-пр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6D3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2401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308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5E2E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59F8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16DC5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5420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A5D6A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2019-07-22T09:44:00Z</dcterms:created>
  <dcterms:modified xsi:type="dcterms:W3CDTF">2019-07-22T09:44:00Z</dcterms:modified>
</cp:coreProperties>
</file>