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постановления </w:t>
      </w:r>
      <w:r w:rsidR="007A4FEF" w:rsidRPr="007A4FEF">
        <w:rPr>
          <w:sz w:val="28"/>
          <w:szCs w:val="28"/>
        </w:rPr>
        <w:t>Кабинета Министров Республики Татарстан «Об утверждении норм допустимой добычи охотничьих ресурсов на территории охотничьих угодий Республики Татарстан на период по 29 февраля 2020 года»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491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2019-04-30T11:56:00Z</dcterms:created>
  <dcterms:modified xsi:type="dcterms:W3CDTF">2019-04-30T11:56:00Z</dcterms:modified>
</cp:coreProperties>
</file>