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99016C" w:rsidRPr="0099016C">
        <w:rPr>
          <w:rStyle w:val="pt-a0"/>
          <w:bCs/>
          <w:color w:val="000000"/>
          <w:sz w:val="28"/>
          <w:szCs w:val="28"/>
        </w:rPr>
        <w:t xml:space="preserve">Об установлении тарифов на тепловую энергию (мощность), поставляемую Федеральным государственным бюджетным образовательным учреждением высшего образования «Казанский государственный архитектурно-строительный университет» потребителям, другим теплоснабжающим </w:t>
      </w:r>
      <w:r w:rsidR="0099016C">
        <w:rPr>
          <w:rStyle w:val="pt-a0"/>
          <w:bCs/>
          <w:color w:val="000000"/>
          <w:sz w:val="28"/>
          <w:szCs w:val="28"/>
        </w:rPr>
        <w:t>организациям, на 2019-2023 годы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D260C"/>
    <w:rsid w:val="004F3FC4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E22C6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53466"/>
    <w:rsid w:val="00C57AA6"/>
    <w:rsid w:val="00C902C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2018-11-20T06:13:00Z</dcterms:created>
  <dcterms:modified xsi:type="dcterms:W3CDTF">2018-11-20T06:13:00Z</dcterms:modified>
</cp:coreProperties>
</file>