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1093939" wp14:editId="69E5113A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992">
        <w:rPr>
          <w:rFonts w:ascii="Times New Roman" w:hAnsi="Times New Roman" w:cs="Times New Roman"/>
          <w:sz w:val="28"/>
          <w:lang w:val="tt-RU"/>
        </w:rPr>
        <w:t xml:space="preserve">МИНИСТЕРСТВО </w:t>
      </w:r>
      <w:r w:rsidRPr="00CF0992">
        <w:rPr>
          <w:rFonts w:ascii="Times New Roman" w:hAnsi="Times New Roman" w:cs="Times New Roman"/>
          <w:sz w:val="28"/>
        </w:rPr>
        <w:t xml:space="preserve">СЕЛЬСКОГО ХОЗЯЙСТВА И ПРОДОВОЛЬСТВИЯ </w:t>
      </w:r>
    </w:p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0992">
        <w:rPr>
          <w:rFonts w:ascii="Times New Roman" w:hAnsi="Times New Roman" w:cs="Times New Roman"/>
          <w:sz w:val="28"/>
        </w:rPr>
        <w:t>РЕСПУБЛИКИ ТАТАРСТАН</w:t>
      </w:r>
    </w:p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E63" w:rsidRPr="00CF0992" w:rsidRDefault="005C0E63" w:rsidP="005C0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E63" w:rsidRDefault="005C0E63" w:rsidP="005C0E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E63" w:rsidRPr="005C0E63" w:rsidRDefault="005C0E63" w:rsidP="005C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9D" w:rsidRDefault="006E3B9D" w:rsidP="005C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C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Аграриям Татарстана предстоит накопить минеральных удобрений не менее 70 кг на гектар</w:t>
      </w:r>
    </w:p>
    <w:bookmarkEnd w:id="0"/>
    <w:p w:rsidR="005C0E63" w:rsidRPr="005C0E63" w:rsidRDefault="005C0E63" w:rsidP="005C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Минсельхозпрода РТ рекомендует сельхозпроизводителям Татарстана внести  не менее 70 кг действующего вещества минеральных удобрений на гектар посевов под урожай 2020 года. 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заместитель министра сельского хозяйства и продовольствия РТ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республике посевная площадь этого года составляет порядка 2,8 млн га. По состоянию на 1 января 2020 года приобретено минеральных удобрений в пересчете на действующее вещество более 46,1 тыс. тонн.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составляет 16,5 кг действующего вещества на гектар посевов, или 23,5% к прогнозу. На 1 января прошлого года было накоплено минеральных удобрений 15,2 кг (д. в./га), показатель на аналогичную дату этого года на 1,3 кг больше», – уточнил замминистра.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начало текущего года наибольшее количество минеральных удобрений накоплено в Заинском муниципальном районе – 46,6 кг д. в./га (или 66,6% к прогнозу). Также в тройке лидеров по этому показателю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кг (62,8%) и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Сармановский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40,1 кг (57,3%) районы.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«Примечательно, темпы накопления минеральных удобрений в этих и ряде других муниципальных районов выше, чем в прошлом сезоне», – отметил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этого года в Нижнекамском районе прогнозный показатель по накоплению минеральных удобрений выполнен на 48,4%, Сабинском – на 46,6%,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41,1%,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40,2% (при среднем показателе по республике 23,5%).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Минсельхозпрода РТ, низкие темпы накопления минеральных удобрений наблюдаются в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Камско-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Новошешминском,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Лениногорском,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Елабужском</w:t>
      </w:r>
      <w:proofErr w:type="spellEnd"/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где прогнозные показатели выполнены менее чем на 10%.</w:t>
      </w:r>
    </w:p>
    <w:p w:rsidR="006E3B9D" w:rsidRPr="005C0E63" w:rsidRDefault="006E3B9D" w:rsidP="005C0E6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сообщалось </w:t>
      </w:r>
      <w:hyperlink r:id="rId5" w:history="1">
        <w:r w:rsidRPr="005C0E6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ранее</w:t>
        </w:r>
      </w:hyperlink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 в республике </w:t>
      </w:r>
      <w:r w:rsidR="00E0363C"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поставлена задача –</w:t>
      </w:r>
      <w:r w:rsidRPr="005C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производство продукции растениеводства на 10%.</w:t>
      </w:r>
    </w:p>
    <w:p w:rsidR="005C0E63" w:rsidRPr="005C0E63" w:rsidRDefault="005C0E63" w:rsidP="005C0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E63">
        <w:rPr>
          <w:rFonts w:ascii="Times New Roman" w:hAnsi="Times New Roman" w:cs="Times New Roman"/>
          <w:i/>
          <w:sz w:val="28"/>
          <w:szCs w:val="28"/>
        </w:rPr>
        <w:lastRenderedPageBreak/>
        <w:t>Пресс-служба Минсельхозпрода РТ</w:t>
      </w:r>
    </w:p>
    <w:sectPr w:rsidR="005C0E63" w:rsidRPr="005C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D"/>
    <w:rsid w:val="00166F71"/>
    <w:rsid w:val="00240A4F"/>
    <w:rsid w:val="005C0E63"/>
    <w:rsid w:val="00664CF4"/>
    <w:rsid w:val="006E3B9D"/>
    <w:rsid w:val="00D254D7"/>
    <w:rsid w:val="00DE1E02"/>
    <w:rsid w:val="00DF1575"/>
    <w:rsid w:val="00E0363C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76BCA-6DD5-4C1F-812E-05EC05B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56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index.htm/news/164412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2020-01-09T13:36:00Z</dcterms:created>
  <dcterms:modified xsi:type="dcterms:W3CDTF">2020-01-09T13:36:00Z</dcterms:modified>
</cp:coreProperties>
</file>